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  <w:rtl w:val="0"/>
        </w:rPr>
        <w:t>Critérios de Seleção do(a) Bolsista</w:t>
      </w:r>
    </w:p>
    <w:tbl>
      <w:tblPr>
        <w:tblStyle w:val="53"/>
        <w:tblW w:w="9754" w:type="dxa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25"/>
        <w:gridCol w:w="9129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Modalidade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Ensino e monitoria em componente curricular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Pesquisa, Desenvolvimento Tecnológico e Inovação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Extensão e Cultura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Ações sociais, culturais e de atenção à diversidade no âmbito da comunidade acadêmica</w:t>
            </w:r>
          </w:p>
        </w:tc>
      </w:tr>
    </w:tbl>
    <w:p>
      <w:pPr>
        <w:spacing w:after="0" w:line="240" w:lineRule="auto"/>
        <w:rPr>
          <w:color w:val="222222"/>
          <w:sz w:val="20"/>
          <w:szCs w:val="20"/>
        </w:rPr>
      </w:pPr>
    </w:p>
    <w:tbl>
      <w:tblPr>
        <w:tblStyle w:val="54"/>
        <w:tblW w:w="9793" w:type="dxa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197"/>
        <w:gridCol w:w="6596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Nome do(a) Orientador(a):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Vinculado a qual projeto/proposta ou componente(s) curricular(es)?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Período de inscrições: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color w:val="222222"/>
          <w:sz w:val="20"/>
          <w:szCs w:val="20"/>
        </w:rPr>
      </w:pPr>
    </w:p>
    <w:tbl>
      <w:tblPr>
        <w:tblStyle w:val="55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shd w:val="clear" w:color="auto" w:fill="D9D9D9"/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b/>
                <w:sz w:val="20"/>
                <w:szCs w:val="20"/>
                <w:rtl w:val="0"/>
              </w:rPr>
              <w:t xml:space="preserve">Informe os critérios de seleção do(a) bolsista </w:t>
            </w:r>
            <w:r>
              <w:rPr>
                <w:sz w:val="20"/>
                <w:szCs w:val="20"/>
                <w:rtl w:val="0"/>
              </w:rPr>
              <w:t>(conforme Edital,</w:t>
            </w:r>
            <w:r>
              <w:rPr>
                <w:color w:val="000000"/>
                <w:sz w:val="20"/>
                <w:szCs w:val="20"/>
                <w:rtl w:val="0"/>
              </w:rPr>
              <w:t xml:space="preserve"> durante o processo de seleção, sugere-se a</w:t>
            </w:r>
            <w:r>
              <w:rPr>
                <w:sz w:val="20"/>
                <w:szCs w:val="20"/>
                <w:rtl w:val="0"/>
              </w:rPr>
              <w:t>o(a)</w:t>
            </w:r>
            <w:r>
              <w:rPr>
                <w:color w:val="000000"/>
                <w:sz w:val="20"/>
                <w:szCs w:val="20"/>
                <w:rtl w:val="0"/>
              </w:rPr>
              <w:t xml:space="preserve"> orientador(a) que a nota final da avaliação seja multiplicada por um fator de correção para as candidatas que forem mães com filho(s) de idade até dez anos)</w:t>
            </w:r>
            <w:r>
              <w:rPr>
                <w:sz w:val="20"/>
                <w:szCs w:val="20"/>
                <w:rtl w:val="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p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rtl w:val="0"/>
              </w:rPr>
              <w:t>Critérios estabelecidos no Edital: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4.2.1. São requisitos para o discente participar do PDA: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a) estar matriculado em, no mínimo, 12 (doze) créditos semestrais, em curso de graduação, salvo quando: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i) for formando, devidamente atestado pela coordenação de curso;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ii) no semestre vigente não forem ofertados créditos suficientes para completar a carga horária semanal exigida, devidamente atestado pela coordenação de curso;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iii) for estudante com deficiência.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b) proceder corretamente com a inscrição, apresentando a documentação exigida;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c) ter disponibilidade de tempo para atender às atividades programadas;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d) não acumular qualquer outro tipo de bolsa, com exceção dos auxílios de permanência;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e) no caso de atividades de monitoria, o discente selecionado deverá ter cursado o componente curricular e obtido desempenho acadêmico satisfatório.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rtl w:val="0"/>
              </w:rPr>
              <w:t>Critérios definidos pelo orientador(a):</w:t>
            </w:r>
          </w:p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(CADA ORIENTADOR(A) PODERÁ DEFINIR CRITÉRIOS PRÓPRIOS ALÉM DOS ELENCADOS NO EDITAL)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rtl w:val="0"/>
              </w:rPr>
              <w:t>INSCRIÇÕES PARA BOLSA: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rtl w:val="0"/>
              </w:rPr>
              <w:t>Para a inscrição, o discente candidato deverá enviar seus dados acadêmicos, histórico e Currículo Lattes ao e-mail institucional do coordenador da proposta, conforme endereços divulgados nas páginas das unidades acadêmicas, a partir do seu e-mail institucional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(CADA ORIENTADOR(A) PODERÁ SOLICITAR OUTROS DOCUMENTOS. ESPECIFICAR NESTE ITEM OS DEMAIS DOCUMENTOS EXIGIDOS)</w:t>
            </w: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color w:val="222222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426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  <w:rtl w:val="0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  <w:rtl w:val="0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NUMPAGES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  <w:rtl w:val="0"/>
      </w:rPr>
      <w:t xml:space="preserve">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1480820" cy="647700"/>
          <wp:effectExtent l="0" t="0" r="0" b="0"/>
          <wp:wrapSquare wrapText="bothSides"/>
          <wp:docPr id="3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" name="image1.png"/>
                  <pic:cNvPicPr preferRelativeResize="0"/>
                </pic:nvPicPr>
                <pic:blipFill>
                  <a:blip r:embed="rId1"/>
                  <a:srcRect l="5430" t="10289" b="10519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2943225" cy="742950"/>
              <wp:effectExtent l="0" t="0" r="0" b="0"/>
              <wp:wrapNone/>
              <wp:docPr id="310" name="Retâ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3913" y="3418050"/>
                        <a:ext cx="29241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Universidade Federal do Pampa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Comitê Gestor do PDA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>https://sites.unipampa.edu.br/pda/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56pt;margin-top:1pt;height:58.5pt;width:231.75pt;z-index:251659264;mso-width-relative:page;mso-height-relative:page;" filled="f" stroked="f" coordsize="21600,21600" o:gfxdata="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IKA&#10;ytUAAAAJAQAADwAAAAAAAAABACAAAAAiAAAAZHJzL2Rvd25yZXYueG1sUEsBAhQAFAAAAAgAh07i&#10;QFa94uDsAQAA0wMAAA4AAAAAAAAAAQAgAAAAJA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right"/>
                    </w:pPr>
                    <w:r>
                      <w:rPr>
                        <w:rFonts w:ascii="Calibri" w:hAnsi="Calibri" w:eastAsia="Calibri" w:cs="Calibri"/>
                        <w:b/>
                        <w:i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Universidade Federal do Pampa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right"/>
                    </w:pPr>
                    <w:r>
                      <w:rPr>
                        <w:rFonts w:ascii="Calibri" w:hAnsi="Calibri" w:eastAsia="Calibri" w:cs="Calibri"/>
                        <w:b w:val="0"/>
                        <w:i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Comitê Gestor do PDA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right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right"/>
                    </w:pPr>
                    <w:r>
                      <w:rPr>
                        <w:rFonts w:ascii="Calibri" w:hAnsi="Calibri" w:eastAsia="Calibri" w:cs="Calibri"/>
                        <w:b w:val="0"/>
                        <w:i/>
                        <w:smallCaps w:val="0"/>
                        <w:strike w:val="0"/>
                        <w:color w:val="0000FF"/>
                        <w:sz w:val="20"/>
                        <w:u w:val="single"/>
                        <w:vertAlign w:val="baseline"/>
                      </w:rPr>
                      <w:t>https://sites.unipampa.edu.br/pda/</w:t>
                    </w:r>
                  </w:p>
                </w:txbxContent>
              </v:textbox>
            </v:rect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4"/>
        <w:szCs w:val="4"/>
      </w:rPr>
    </w:pPr>
  </w:p>
  <w:p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D37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13">
    <w:name w:val="header"/>
    <w:basedOn w:val="1"/>
    <w:link w:val="4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4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Balloon Text"/>
    <w:basedOn w:val="1"/>
    <w:link w:val="4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22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_Style 23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21">
    <w:name w:val="_Style 24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22">
    <w:name w:val="_Style 25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23">
    <w:name w:val="_Style 26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27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28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6">
    <w:name w:val="_Style 29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7">
    <w:name w:val="_Style 30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8">
    <w:name w:val="_Style 31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9">
    <w:name w:val="_Style 32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30">
    <w:name w:val="_Style 33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1">
    <w:name w:val="_Style 34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2">
    <w:name w:val="_Style 35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3">
    <w:name w:val="_Style 36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7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8"/>
    <w:basedOn w:val="18"/>
    <w:qFormat/>
    <w:uiPriority w:val="0"/>
    <w:tblPr>
      <w:tblCellMar>
        <w:left w:w="108" w:type="dxa"/>
        <w:right w:w="108" w:type="dxa"/>
      </w:tblCellMar>
    </w:tblPr>
  </w:style>
  <w:style w:type="table" w:customStyle="1" w:styleId="36">
    <w:name w:val="_Style 39"/>
    <w:basedOn w:val="18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40"/>
    <w:basedOn w:val="18"/>
    <w:uiPriority w:val="0"/>
    <w:tblPr>
      <w:tblCellMar>
        <w:left w:w="70" w:type="dxa"/>
        <w:right w:w="70" w:type="dxa"/>
      </w:tblCellMar>
    </w:tblPr>
  </w:style>
  <w:style w:type="table" w:customStyle="1" w:styleId="38">
    <w:name w:val="_Style 41"/>
    <w:basedOn w:val="18"/>
    <w:uiPriority w:val="0"/>
    <w:tblPr>
      <w:tblCellMar>
        <w:left w:w="70" w:type="dxa"/>
        <w:right w:w="70" w:type="dxa"/>
      </w:tblCellMar>
    </w:tblPr>
  </w:style>
  <w:style w:type="table" w:customStyle="1" w:styleId="39">
    <w:name w:val="_Style 42"/>
    <w:basedOn w:val="18"/>
    <w:uiPriority w:val="0"/>
    <w:tblPr>
      <w:tblCellMar>
        <w:left w:w="10" w:type="dxa"/>
        <w:right w:w="10" w:type="dxa"/>
      </w:tblCellMar>
    </w:tblPr>
  </w:style>
  <w:style w:type="table" w:customStyle="1" w:styleId="40">
    <w:name w:val="_Style 43"/>
    <w:basedOn w:val="18"/>
    <w:uiPriority w:val="0"/>
    <w:tblPr>
      <w:tblCellMar>
        <w:left w:w="10" w:type="dxa"/>
        <w:right w:w="10" w:type="dxa"/>
      </w:tblCellMar>
    </w:tblPr>
  </w:style>
  <w:style w:type="table" w:customStyle="1" w:styleId="41">
    <w:name w:val="_Style 44"/>
    <w:basedOn w:val="18"/>
    <w:uiPriority w:val="0"/>
    <w:tblPr>
      <w:tblCellMar>
        <w:left w:w="108" w:type="dxa"/>
        <w:right w:w="108" w:type="dxa"/>
      </w:tblCellMar>
    </w:tblPr>
  </w:style>
  <w:style w:type="character" w:customStyle="1" w:styleId="42">
    <w:name w:val="Texto de balão Char"/>
    <w:basedOn w:val="8"/>
    <w:link w:val="15"/>
    <w:semiHidden/>
    <w:uiPriority w:val="99"/>
    <w:rPr>
      <w:rFonts w:ascii="Tahoma" w:hAnsi="Tahoma" w:cs="Tahoma"/>
      <w:sz w:val="16"/>
      <w:szCs w:val="16"/>
    </w:rPr>
  </w:style>
  <w:style w:type="character" w:customStyle="1" w:styleId="43">
    <w:name w:val="Cabeçalho Char"/>
    <w:basedOn w:val="8"/>
    <w:link w:val="13"/>
    <w:uiPriority w:val="99"/>
  </w:style>
  <w:style w:type="character" w:customStyle="1" w:styleId="44">
    <w:name w:val="Rodapé Char"/>
    <w:basedOn w:val="8"/>
    <w:link w:val="14"/>
    <w:uiPriority w:val="99"/>
  </w:style>
  <w:style w:type="paragraph" w:customStyle="1" w:styleId="45">
    <w:name w:val="texto_centralizado_espacamento_simple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46">
    <w:name w:val="_Style 55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7">
    <w:name w:val="_Style 56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8">
    <w:name w:val="_Style 57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9">
    <w:name w:val="_Style 58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0">
    <w:name w:val="_Style 59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1">
    <w:name w:val="_Style 60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2">
    <w:name w:val="_Style 61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3">
    <w:name w:val="_Style 63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4">
    <w:name w:val="_Style 64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5">
    <w:name w:val="_Style 65"/>
    <w:basedOn w:val="18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G1GbQn6OUPbS2j8RFmclVNeMgQ==">AMUW2mX5ORX5fZeVO1MyhnNwBG/DKGK7lSAr+xtiCeT8H1c2qGkdY+lnae3vlW0P/inUmNQhaTKwwgDQFHoJsu9d4QsT+Mp8gF7zXjo3Rhr9PnoxjZa8MomAGoIeKNSDnEu18km1e/ml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2018-03-13T14:50:00Z</dcterms:created>
  <dc:creator>TANANE CAETANO MACANS</dc:creator>
  <cp:lastModifiedBy>Rafael S. Lopes</cp:lastModifiedBy>
  <dcterms:modified xsi:type="dcterms:W3CDTF">2024-02-28T18:33:31Z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66F3981017534CEBBA4465A52000C8DE_13</vt:lpwstr>
  </property>
</Properties>
</file>