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heading=h.gjdgxs"/>
      <w:bookmarkEnd w:id="0"/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177800</wp:posOffset>
                </wp:positionH>
                <wp:positionV relativeFrom="paragraph">
                  <wp:posOffset>-88900</wp:posOffset>
                </wp:positionV>
                <wp:extent cx="6178550" cy="3873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60" cy="38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black" stroked="f" style="position:absolute;margin-left:14pt;margin-top:-7pt;width:486.4pt;height:2.95pt">
                <w10:wrap type="none"/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Calibri" w:ascii="Calibri" w:hAnsi="Calibri"/>
          <w:b/>
          <w:sz w:val="24"/>
          <w:szCs w:val="24"/>
        </w:rPr>
        <w:t>Ficha de avaliação de proposta submetida ao Edital PDA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4"/>
          <w:szCs w:val="24"/>
        </w:rPr>
        <w:t>Modalidade: Extensão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9645" w:type="dxa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129"/>
        <w:gridCol w:w="7515"/>
      </w:tblGrid>
      <w:tr>
        <w:trPr>
          <w:trHeight w:val="419" w:hRule="atLeas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77" w:after="0"/>
              <w:ind w:left="10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do Projeto: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0" w:hRule="atLeast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98" w:after="0"/>
              <w:ind w:left="10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Proponente: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17"/>
          <w:szCs w:val="17"/>
        </w:rPr>
      </w:pPr>
      <w:r>
        <w:rPr>
          <w:rFonts w:eastAsia="Times New Roman" w:cs="Times New Roman" w:ascii="Times New Roman" w:hAnsi="Times New Roman"/>
          <w:b/>
          <w:sz w:val="17"/>
          <w:szCs w:val="17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7"/>
          <w:sz w:val="17"/>
          <w:szCs w:val="17"/>
          <w:u w:val="none"/>
          <w:shd w:fill="auto" w:val="clear"/>
          <w:vertAlign w:val="baseline"/>
        </w:rPr>
      </w:r>
    </w:p>
    <w:tbl>
      <w:tblPr>
        <w:tblStyle w:val="Table2"/>
        <w:tblW w:w="9645" w:type="dxa"/>
        <w:jc w:val="left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7515"/>
        <w:gridCol w:w="1005"/>
        <w:gridCol w:w="1125"/>
      </w:tblGrid>
      <w:tr>
        <w:trPr>
          <w:trHeight w:val="360" w:hRule="atLeast"/>
        </w:trPr>
        <w:tc>
          <w:tcPr>
            <w:tcW w:w="7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-141" w:right="-152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 de Avaliação do Projeto de Extensão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76" w:before="96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>
        <w:trPr>
          <w:trHeight w:val="495" w:hRule="atLeast"/>
        </w:trPr>
        <w:tc>
          <w:tcPr>
            <w:tcW w:w="7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96" w:after="0"/>
              <w:ind w:left="0" w:right="12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Máxima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96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Recebida</w:t>
            </w:r>
          </w:p>
        </w:tc>
      </w:tr>
      <w:tr>
        <w:trPr>
          <w:trHeight w:val="129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1. A equipe executora é formada pelos diversos segmentos da comunidade acadêmica (docentes, discentes, técnicos- administrativos) e pela comunidade externa, os quais têm participação relevante em todas as etapas do desenvolvimento da ação de extensão.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2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9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2. A ação de extensão causa impacto social, promove Integração entre Universidade e Sociedade e permite intercâmbio de saberes.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2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07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3. A ação de extensão apresenta objetivos viáveis, considerando seu período de vigência e as condições humanas e físicas disponíveis para sua execução.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12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22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4. A ação de extensão apresenta justificativa consistente, que permite identificar sua relevância para a formação dos acadêmicos da Unipampa e para a sociedade.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2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6D6D6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2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5. A ação de extensão adota metodologia pertinente ao cumprimento dos objetivos propostos e adequada à promoção de relação dialógica entre Universidade e Sociedade e consequente intercâmbio de saberes.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2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3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6. A ação de extensão define seu público alvo de maneira objetiva e viável, considerando o cronograma previsto para sua execução e seus objetivos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right="12" w:hanging="0"/>
              <w:jc w:val="center"/>
              <w:rPr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7. A ação de extensão promove articulação entre extensão, ensino e pesquisa no âmbito do(s) curso(s) a que se vincula.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12" w:hanging="0"/>
              <w:jc w:val="center"/>
              <w:rPr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-11" w:hanging="0"/>
              <w:jc w:val="left"/>
              <w:rPr/>
            </w:pPr>
            <w:r>
              <w:rPr/>
              <w:t>8. A ação de extensão causa impacto na formação técnica, científica, pessoal e social dos discentes integrantes da equipe executora.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right="12" w:hanging="0"/>
              <w:jc w:val="center"/>
              <w:rPr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20" w:after="0"/>
              <w:ind w:left="0" w:right="362" w:hanging="0"/>
              <w:jc w:val="left"/>
              <w:rPr/>
            </w:pPr>
            <w:r>
              <w:rPr/>
              <w:t>9. A ação de extensão prevê geração de produtos (publicações, material audiovisual, produto artístico, inovação tecnológica etc) capazes de promover a circulação dos saberes produzidos.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12" w:hanging="0"/>
              <w:jc w:val="center"/>
              <w:rPr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76" w:before="55" w:after="0"/>
              <w:ind w:left="0" w:right="95" w:hanging="0"/>
              <w:rPr/>
            </w:pPr>
            <w:r>
              <w:rPr/>
              <w:t>10. A ação de extensão prevê instrumentos de avaliação por parte da equipe executora e pelo público-alvo da ação.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right="12" w:hanging="0"/>
              <w:jc w:val="center"/>
              <w:rPr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87" w:after="0"/>
              <w:ind w:right="99" w:hanging="0"/>
              <w:jc w:val="right"/>
              <w:rPr>
                <w:b/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40" w:before="87" w:after="0"/>
              <w:ind w:left="0" w:right="12" w:hanging="0"/>
              <w:jc w:val="center"/>
              <w:rPr>
                <w:b/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72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Comente aqui sua avaliação sobre o Projeto: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tbl>
      <w:tblPr>
        <w:tblStyle w:val="Table3"/>
        <w:tblW w:w="9645" w:type="dxa"/>
        <w:jc w:val="left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7515"/>
        <w:gridCol w:w="1005"/>
        <w:gridCol w:w="1125"/>
      </w:tblGrid>
      <w:tr>
        <w:trPr>
          <w:trHeight w:val="360" w:hRule="atLeast"/>
        </w:trPr>
        <w:tc>
          <w:tcPr>
            <w:tcW w:w="7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-141" w:right="-152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 de Avaliação do Plano de Atividades do Bolsista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76" w:before="96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>
        <w:trPr>
          <w:trHeight w:val="495" w:hRule="atLeast"/>
        </w:trPr>
        <w:tc>
          <w:tcPr>
            <w:tcW w:w="7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96" w:after="0"/>
              <w:ind w:right="12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Máxima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96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Recebida</w:t>
            </w:r>
          </w:p>
        </w:tc>
      </w:tr>
      <w:tr>
        <w:trPr>
          <w:trHeight w:val="2183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hanging="0"/>
              <w:jc w:val="both"/>
              <w:rPr/>
            </w:pPr>
            <w:r>
              <w:rPr/>
              <w:t>Atividades ou ações previstas contemplando: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26" w:leader="none"/>
              </w:tabs>
              <w:spacing w:lineRule="auto" w:line="240" w:before="39" w:after="0"/>
              <w:ind w:left="425" w:hanging="360"/>
              <w:jc w:val="both"/>
              <w:rPr/>
            </w:pPr>
            <w:r>
              <w:rPr/>
              <w:t>a articulação com a metodologia do(a) projeto/proposta;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26" w:leader="none"/>
              </w:tabs>
              <w:spacing w:lineRule="auto" w:line="240" w:before="0" w:after="0"/>
              <w:ind w:left="425" w:hanging="360"/>
              <w:jc w:val="both"/>
              <w:rPr/>
            </w:pPr>
            <w:r>
              <w:rPr/>
              <w:t>a formação acadêmica de acordo com a modalidade de projeto de iniciação ao ensino, à pesquisa, à extensão ou ações sociais, culturais e de atenção à diversidade no âmbito da comunidade acadêmica;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0" w:after="0"/>
              <w:ind w:left="425" w:hanging="360"/>
              <w:jc w:val="both"/>
              <w:rPr/>
            </w:pPr>
            <w:r>
              <w:rPr/>
              <w:t>os aspectos constitutivos do perfil do egresso da Unipampa;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408" w:leader="none"/>
              </w:tabs>
              <w:spacing w:lineRule="auto" w:line="240" w:before="0" w:after="0"/>
              <w:ind w:left="425" w:hanging="360"/>
              <w:jc w:val="both"/>
              <w:rPr/>
            </w:pPr>
            <w:r>
              <w:rPr/>
              <w:t>as práticas acadêmicas vinculadas aos projetos pedagógicos dos cursos de graduação.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1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/>
              <w:ind w:left="0" w:hanging="0"/>
              <w:rPr/>
            </w:pPr>
            <w:r>
              <w:rPr/>
              <w:t>Relevância, coerência e exequibilidade das atividades de acordo com o cronograma do projeto.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right="1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0" w:hanging="0"/>
              <w:rPr/>
            </w:pPr>
            <w:r>
              <w:rPr/>
              <w:t>Atividades ou ações propostas de forma articulada aos objetivos e resultados esperados.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1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16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76"/>
              <w:ind w:left="0" w:hanging="0"/>
              <w:rPr/>
            </w:pPr>
            <w:r>
              <w:rPr/>
              <w:t>Procedimentos e instrumentos para o acompanhamento e avaliação do trabalho do bolsista, considerando: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466" w:leader="none"/>
              </w:tabs>
              <w:spacing w:lineRule="auto" w:line="276"/>
              <w:ind w:left="425" w:right="113" w:hanging="360"/>
              <w:rPr/>
            </w:pPr>
            <w:r>
              <w:rPr/>
              <w:t>os aspectos formativos (assiduidade, pontualidade, responsabilidade e cumprimento das atividades previstas);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331" w:leader="none"/>
              </w:tabs>
              <w:spacing w:lineRule="auto" w:line="237"/>
              <w:ind w:left="425" w:hanging="360"/>
              <w:rPr/>
            </w:pPr>
            <w:r>
              <w:rPr/>
              <w:t>a apropriação e desenvolvimento de saberes conforme projeto proposto;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317" w:leader="none"/>
              </w:tabs>
              <w:ind w:left="425" w:right="104" w:hanging="360"/>
              <w:rPr/>
            </w:pPr>
            <w:r>
              <w:rPr/>
              <w:t>a sistematização (produção de relatórios) e socialização de saberes, divulgados em eventos acadêmicos e em atividades junto à comunidade externa.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right="1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" w:after="0"/>
              <w:ind w:left="0" w:hanging="0"/>
              <w:rPr/>
            </w:pPr>
            <w:r>
              <w:rPr/>
              <w:t>Ações previstas de forma condizente com a carga horária indicada no plano de trabalho do bolsista.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12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87" w:after="0"/>
              <w:ind w:right="99" w:hanging="0"/>
              <w:jc w:val="right"/>
              <w:rPr>
                <w:b/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87" w:after="0"/>
              <w:ind w:left="367" w:right="-55" w:hanging="367"/>
              <w:jc w:val="center"/>
              <w:rPr>
                <w:b/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jc w:val="both"/>
              <w:rPr>
                <w:b/>
                <w:b/>
              </w:rPr>
            </w:pPr>
            <w:r>
              <w:rPr>
                <w:b/>
              </w:rPr>
              <w:t>Comente aqui sua avaliação sobre o Plano de Atividades do Bolsista:</w:t>
            </w:r>
          </w:p>
          <w:p>
            <w:pPr>
              <w:pStyle w:val="Normal"/>
              <w:spacing w:lineRule="auto" w:line="240" w:before="87" w:after="0"/>
              <w:ind w:right="99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87" w:after="0"/>
              <w:ind w:right="99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87" w:after="0"/>
              <w:ind w:right="99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87" w:after="0"/>
              <w:ind w:right="99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60" w:right="940" w:header="642" w:top="1800" w:footer="924" w:bottom="11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5765800</wp:posOffset>
              </wp:positionH>
              <wp:positionV relativeFrom="paragraph">
                <wp:posOffset>9944100</wp:posOffset>
              </wp:positionV>
              <wp:extent cx="592455" cy="147320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465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72770" h="127635">
                            <a:moveTo>
                              <a:pt x="0" y="0"/>
                            </a:moveTo>
                            <a:lnTo>
                              <a:pt x="0" y="127635"/>
                            </a:lnTo>
                            <a:lnTo>
                              <a:pt x="572770" y="127635"/>
                            </a:lnTo>
                            <a:lnTo>
                              <a:pt x="5727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0" w:before="0" w:after="0"/>
                            <w:ind w:left="20" w:right="0" w:firstLine="20"/>
                            <w:jc w:val="left"/>
                            <w:rPr/>
                          </w:pPr>
                          <w:r>
                            <w:rPr>
                              <w:rFonts w:eastAsia="Trebuchet MS" w:cs="Trebuchet MS" w:ascii="Trebuchet MS" w:hAnsi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Página </w:t>
                          </w: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>PAGE1</w:t>
                          </w:r>
                          <w:r>
                            <w:rPr>
                              <w:rFonts w:eastAsia="Trebuchet MS" w:cs="Trebuchet MS" w:ascii="Trebuchet MS" w:hAnsi="Trebuchet MS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de 2</w:t>
                          </w:r>
                        </w:p>
                      </w:txbxContent>
                    </wps:txbx>
                    <wps:bodyPr lIns="114480" rIns="11448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right"/>
      <w:rPr>
        <w:rFonts w:ascii="Calibri" w:hAnsi="Calibri" w:eastAsia="Calibri" w:cs="Calibri"/>
        <w:b/>
        <w:b/>
        <w:i/>
        <w:i/>
        <w:sz w:val="20"/>
        <w:szCs w:val="20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657225</wp:posOffset>
          </wp:positionH>
          <wp:positionV relativeFrom="page">
            <wp:posOffset>407670</wp:posOffset>
          </wp:positionV>
          <wp:extent cx="1480820" cy="6477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36" t="10284" r="0" b="10521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i/>
        <w:sz w:val="20"/>
        <w:szCs w:val="20"/>
      </w:rPr>
      <w:t>U</w:t>
    </w:r>
    <w:r>
      <w:rPr>
        <w:rFonts w:eastAsia="Calibri" w:cs="Calibri" w:ascii="Calibri" w:hAnsi="Calibri"/>
        <w:b/>
        <w:i/>
        <w:sz w:val="20"/>
        <w:szCs w:val="20"/>
      </w:rPr>
      <w:t xml:space="preserve">niversidade Federal do Pampa </w:t>
    </w:r>
  </w:p>
  <w:p>
    <w:pPr>
      <w:pStyle w:val="Normal"/>
      <w:spacing w:lineRule="auto" w:line="240" w:before="9" w:after="0"/>
      <w:ind w:right="14" w:hanging="0"/>
      <w:jc w:val="right"/>
      <w:rPr>
        <w:rFonts w:ascii="Calibri" w:hAnsi="Calibri" w:eastAsia="Calibri" w:cs="Calibri"/>
        <w:i/>
        <w:i/>
        <w:sz w:val="20"/>
        <w:szCs w:val="20"/>
      </w:rPr>
    </w:pPr>
    <w:r>
      <w:rPr>
        <w:rFonts w:eastAsia="Calibri" w:cs="Calibri" w:ascii="Calibri" w:hAnsi="Calibri"/>
        <w:i/>
        <w:sz w:val="20"/>
        <w:szCs w:val="20"/>
      </w:rPr>
      <w:t xml:space="preserve">Comitê Gestor do PDA </w:t>
    </w:r>
  </w:p>
  <w:p>
    <w:pPr>
      <w:pStyle w:val="Normal"/>
      <w:spacing w:lineRule="auto" w:line="240" w:before="65" w:after="0"/>
      <w:ind w:right="15" w:hanging="0"/>
      <w:jc w:val="right"/>
      <w:rPr>
        <w:sz w:val="20"/>
        <w:szCs w:val="20"/>
      </w:rPr>
    </w:pPr>
    <w:r>
      <w:rPr>
        <w:rFonts w:eastAsia="Calibri" w:cs="Calibri" w:ascii="Calibri" w:hAnsi="Calibri"/>
        <w:i/>
        <w:color w:val="0000FF"/>
        <w:sz w:val="20"/>
        <w:szCs w:val="20"/>
        <w:u w:val="single"/>
      </w:rPr>
      <w:t>https://sites.unipampa.edu.br/pda/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1"/>
    <w:uiPriority w:val="1"/>
    <w:qFormat/>
    <w:pPr/>
    <w:rPr>
      <w:i/>
      <w:sz w:val="20"/>
      <w:szCs w:val="20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eastAsia="Noto Sans CJK SC" w:cs="Lohit Devanagari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"/>
    <w:uiPriority w:val="10"/>
    <w:qFormat/>
    <w:pPr>
      <w:spacing w:before="90" w:after="0"/>
      <w:ind w:left="3380" w:right="3399" w:hanging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1"/>
    <w:uiPriority w:val="1"/>
    <w:qFormat/>
    <w:pPr/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1"/>
    <w:qFormat/>
    <w:pPr/>
    <w:rPr/>
  </w:style>
  <w:style w:type="paragraph" w:styleId="Rodap">
    <w:name w:val="Footer"/>
    <w:basedOn w:val="CabealhoeRodap"/>
    <w:pPr/>
    <w:rPr/>
  </w:style>
  <w:style w:type="paragraph" w:styleId="Contedodatabela" w:customStyle="1">
    <w:name w:val="Conteúdo da tabela"/>
    <w:basedOn w:val="Normal1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UfDB1hTGUjDODEdWkPj5m8V9efw==">CgMxLjAyCGguZ2pkZ3hzOAByITFUcndORzVuMHQzeE9ZLVBWX1laaThhb0NNRFBZQkVweg==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490</Words>
  <Characters>2830</Characters>
  <CharactersWithSpaces>3256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2023-03-22T00:52:00Z</dcterms:created>
  <dc:creator>martinato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2022-03-18T00:00:00Z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2022-05-12T00:00:00Z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