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11" w:rsidRDefault="00E62391">
      <w:pPr>
        <w:jc w:val="center"/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EXPERIMENTAÇÃO NO ENSINO DE CIÊNCIAS: EXTRATO DE REPOLHO ROXO COMO INDICADOR DE pH</w:t>
      </w:r>
    </w:p>
    <w:p w:rsidR="00221C11" w:rsidRDefault="00E62391">
      <w:pPr>
        <w:tabs>
          <w:tab w:val="left" w:pos="0"/>
        </w:tabs>
        <w:jc w:val="right"/>
      </w:pPr>
      <w:r>
        <w:rPr>
          <w:rFonts w:ascii="Arial Narrow" w:eastAsia="Arial Narrow" w:hAnsi="Arial Narrow" w:cs="Arial Narrow"/>
        </w:rPr>
        <w:t>Liziane Padilha Mena (lizianemena1@gmail.com)</w:t>
      </w:r>
    </w:p>
    <w:p w:rsidR="00221C11" w:rsidRDefault="00E62391">
      <w:pPr>
        <w:tabs>
          <w:tab w:val="left" w:pos="0"/>
        </w:tabs>
        <w:jc w:val="right"/>
      </w:pPr>
      <w:r>
        <w:rPr>
          <w:rFonts w:ascii="Arial Narrow" w:eastAsia="Arial Narrow" w:hAnsi="Arial Narrow" w:cs="Arial Narrow"/>
        </w:rPr>
        <w:t>Caroline Dos Santos Xavier (carolinexavier02@gmail.com)</w:t>
      </w:r>
    </w:p>
    <w:p w:rsidR="00221C11" w:rsidRDefault="00E62391">
      <w:pPr>
        <w:jc w:val="right"/>
      </w:pPr>
      <w:r>
        <w:rPr>
          <w:rFonts w:ascii="Arial Narrow" w:eastAsia="Arial Narrow" w:hAnsi="Arial Narrow" w:cs="Arial Narrow"/>
        </w:rPr>
        <w:t>Quelen Colman Espíndola (quelenespindola13@gmail.com)</w:t>
      </w:r>
    </w:p>
    <w:p w:rsidR="00221C11" w:rsidRDefault="00221C11">
      <w:pPr>
        <w:keepNext/>
        <w:numPr>
          <w:ilvl w:val="0"/>
          <w:numId w:val="1"/>
        </w:numPr>
        <w:ind w:hanging="432"/>
        <w:jc w:val="both"/>
      </w:pPr>
    </w:p>
    <w:p w:rsidR="00221C11" w:rsidRDefault="00E62391">
      <w:pPr>
        <w:keepNext/>
        <w:numPr>
          <w:ilvl w:val="0"/>
          <w:numId w:val="1"/>
        </w:numPr>
        <w:spacing w:line="360" w:lineRule="auto"/>
        <w:ind w:hanging="432"/>
        <w:jc w:val="both"/>
      </w:pPr>
      <w:r>
        <w:rPr>
          <w:rFonts w:ascii="Arial Narrow" w:eastAsia="Arial Narrow" w:hAnsi="Arial Narrow" w:cs="Arial Narrow"/>
          <w:b/>
        </w:rPr>
        <w:t>1. INTRODUÇÃO</w:t>
      </w:r>
    </w:p>
    <w:p w:rsidR="00221C11" w:rsidRDefault="00E62391">
      <w:pPr>
        <w:keepNext/>
        <w:jc w:val="both"/>
      </w:pPr>
      <w:r>
        <w:rPr>
          <w:rFonts w:ascii="Arial Narrow" w:eastAsia="Arial Narrow" w:hAnsi="Arial Narrow" w:cs="Arial Narrow"/>
        </w:rPr>
        <w:t>O presente relato trata de um recorte do projeto intitulado Laboratório Funcional, desenvolvido na Escola Estadual de Ensino Fundamental Getúlio Dornelles Vargas - CIEP, pelo grupo de bolsistas do Programa Institucional de Bolsa de Iniciação à Docência – P</w:t>
      </w:r>
      <w:r>
        <w:rPr>
          <w:rFonts w:ascii="Arial Narrow" w:eastAsia="Arial Narrow" w:hAnsi="Arial Narrow" w:cs="Arial Narrow"/>
        </w:rPr>
        <w:t>IBID, Subprojeto Ciências da Natureza, da Universidade Federal do Pampa – Campus Dom Pedrito.</w:t>
      </w:r>
    </w:p>
    <w:p w:rsidR="00221C11" w:rsidRDefault="00E62391">
      <w:pPr>
        <w:keepNext/>
        <w:jc w:val="both"/>
      </w:pPr>
      <w:r>
        <w:rPr>
          <w:rFonts w:ascii="Arial Narrow" w:eastAsia="Arial Narrow" w:hAnsi="Arial Narrow" w:cs="Arial Narrow"/>
        </w:rPr>
        <w:t>O projeto em questão foi realizado com uma turma de oitavo ano da escola CIEP, a qual contava com vinte e um alunos, com faixa etária entre treze e dezesseis anos</w:t>
      </w:r>
      <w:r>
        <w:rPr>
          <w:rFonts w:ascii="Arial Narrow" w:eastAsia="Arial Narrow" w:hAnsi="Arial Narrow" w:cs="Arial Narrow"/>
        </w:rPr>
        <w:t xml:space="preserve"> de idade, e visou a integração com o ambiente e práticas de laboratório, para que isto fosse possível foram realizados incialmente quatro encontros, sendo que em cada um destes era proposta uma atividade experimental.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Assim, no primeiro encontro do projet</w:t>
      </w:r>
      <w:r>
        <w:rPr>
          <w:rFonts w:ascii="Arial Narrow" w:eastAsia="Arial Narrow" w:hAnsi="Arial Narrow" w:cs="Arial Narrow"/>
        </w:rPr>
        <w:t>o, as normas de laboratório foram apresentadas e debatidas com os alunos, pois antes de qualquer prática é preciso ter consciência dos cuidados a serem tomados para evitar acidentes. O segundo encontro foi referente à atividade da qual trata este relato. N</w:t>
      </w:r>
      <w:r>
        <w:rPr>
          <w:rFonts w:ascii="Arial Narrow" w:eastAsia="Arial Narrow" w:hAnsi="Arial Narrow" w:cs="Arial Narrow"/>
        </w:rPr>
        <w:t>o terceiro encontro do projeto foi realizada a prática da Extração do DNA da Banana e por fim, o quarto encontro teve como foco o uso do microscópio óptico para a visualização das células do epitélio da cebola.</w:t>
      </w:r>
    </w:p>
    <w:p w:rsidR="00221C11" w:rsidRDefault="00E62391">
      <w:pPr>
        <w:keepNext/>
        <w:jc w:val="both"/>
      </w:pPr>
      <w:r>
        <w:rPr>
          <w:rFonts w:ascii="Arial Narrow" w:eastAsia="Arial Narrow" w:hAnsi="Arial Narrow" w:cs="Arial Narrow"/>
        </w:rPr>
        <w:t>No contexto do projeto Laboratório Funcional,</w:t>
      </w:r>
      <w:r>
        <w:rPr>
          <w:rFonts w:ascii="Arial Narrow" w:eastAsia="Arial Narrow" w:hAnsi="Arial Narrow" w:cs="Arial Narrow"/>
        </w:rPr>
        <w:t xml:space="preserve"> foi realizado um recorte sobre o segundo encontro, o qual será apresentado neste relato de experiência. Esta prática experimental buscou compreender o conceito de ácidos e bases, através do uso de extrato de repolho roxo como indicador de pH, por meio de </w:t>
      </w:r>
      <w:r>
        <w:rPr>
          <w:rFonts w:ascii="Arial Narrow" w:eastAsia="Arial Narrow" w:hAnsi="Arial Narrow" w:cs="Arial Narrow"/>
        </w:rPr>
        <w:t>uma proposta na qual os alunos fossem os protagonistas da ação e a bolsista responsável apenas a mediadora, com o papel de orientar tais ações.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Atividades experimentais tornam a construção de conhecimentos científicos mais significativa para os alunos, uma</w:t>
      </w:r>
      <w:r>
        <w:rPr>
          <w:rFonts w:ascii="Arial Narrow" w:eastAsia="Arial Narrow" w:hAnsi="Arial Narrow" w:cs="Arial Narrow"/>
        </w:rPr>
        <w:t xml:space="preserve"> vez que estes serão os principais agentes da ação, saindo da posição de ouvintes e podendo testar suas próprias hipóteses.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 xml:space="preserve">Desta forma, o experimento Indicador de pH, buscou familiarizar os alunos, não apenas com os métodos de laboratório, mas também com </w:t>
      </w:r>
      <w:r>
        <w:rPr>
          <w:rFonts w:ascii="Arial Narrow" w:eastAsia="Arial Narrow" w:hAnsi="Arial Narrow" w:cs="Arial Narrow"/>
        </w:rPr>
        <w:t>a necessidade de registro que as atividades práticas exigem, para que assim, se possa analisar detalhadamente os fenômenos que ocorreram. A seguir será apresentado o contexto no qual ocorreu a experiência.</w:t>
      </w:r>
    </w:p>
    <w:p w:rsidR="00221C11" w:rsidRDefault="00221C11">
      <w:pPr>
        <w:keepNext/>
        <w:jc w:val="both"/>
      </w:pPr>
    </w:p>
    <w:p w:rsidR="00221C11" w:rsidRDefault="00E62391">
      <w:pPr>
        <w:keepNext/>
        <w:numPr>
          <w:ilvl w:val="0"/>
          <w:numId w:val="1"/>
        </w:numPr>
        <w:ind w:left="283" w:hanging="283"/>
        <w:jc w:val="both"/>
      </w:pPr>
      <w:r>
        <w:rPr>
          <w:rFonts w:ascii="Arial Narrow" w:eastAsia="Arial Narrow" w:hAnsi="Arial Narrow" w:cs="Arial Narrow"/>
          <w:b/>
        </w:rPr>
        <w:t xml:space="preserve">2. CONTEXTO DA EXPERIÊNCIA RELATADA 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Esta ativida</w:t>
      </w:r>
      <w:r>
        <w:rPr>
          <w:rFonts w:ascii="Arial Narrow" w:eastAsia="Arial Narrow" w:hAnsi="Arial Narrow" w:cs="Arial Narrow"/>
        </w:rPr>
        <w:t>de foi realizada sob o apoio integral da equipe diretiva da Escola Estadual de Ensino Fundamental Getúlio Dornelles Vargas - CIEP, a qual está inserida em uma área vulnerável da cidade de Dom Pedrito. A escola, que possui cerca de quatrocentos alunos matri</w:t>
      </w:r>
      <w:r>
        <w:rPr>
          <w:rFonts w:ascii="Arial Narrow" w:eastAsia="Arial Narrow" w:hAnsi="Arial Narrow" w:cs="Arial Narrow"/>
        </w:rPr>
        <w:t>culados e distribuídos nos três turnos – matutino, vespertino e noturno – conta com o PIBID com o objetivo de melhorar o Ideb - Índice de Desenvolvimento da Educação Básica, desde março de 2014.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lastRenderedPageBreak/>
        <w:t>A elaboração do projeto Laboratório Funcional, no qual esta p</w:t>
      </w:r>
      <w:r>
        <w:rPr>
          <w:rFonts w:ascii="Arial Narrow" w:eastAsia="Arial Narrow" w:hAnsi="Arial Narrow" w:cs="Arial Narrow"/>
        </w:rPr>
        <w:t>rática foi incluída, atendia a um pedido da direção, para que o grupo de pibianos utilizasse os materiais do laboratório em suas atividades, uma vez que a escola dispunha do espaço de laboratório contando com bancadas apropriadas para fins de experimentaçã</w:t>
      </w:r>
      <w:r>
        <w:rPr>
          <w:rFonts w:ascii="Arial Narrow" w:eastAsia="Arial Narrow" w:hAnsi="Arial Narrow" w:cs="Arial Narrow"/>
        </w:rPr>
        <w:t>o. No entanto, os materiais, que incluíam vidrarias, modelos didáticos e microscópio óptico nunca haviam sido usados. Tais materiais podem fazer toda a diferença no processo de ensino-aprendizagem dos conteúdos de Ciências, tais como os abordados no projet</w:t>
      </w:r>
      <w:r>
        <w:rPr>
          <w:rFonts w:ascii="Arial Narrow" w:eastAsia="Arial Narrow" w:hAnsi="Arial Narrow" w:cs="Arial Narrow"/>
        </w:rPr>
        <w:t>o: ácidos e bases, DNA e estrutura da célula.</w:t>
      </w:r>
    </w:p>
    <w:p w:rsidR="00221C11" w:rsidRDefault="00221C11">
      <w:pPr>
        <w:keepNext/>
        <w:jc w:val="both"/>
      </w:pPr>
    </w:p>
    <w:p w:rsidR="00221C11" w:rsidRDefault="00E62391">
      <w:pPr>
        <w:keepNext/>
        <w:jc w:val="center"/>
      </w:pPr>
      <w:r>
        <w:rPr>
          <w:noProof/>
        </w:rPr>
        <w:drawing>
          <wp:inline distT="0" distB="0" distL="0" distR="0">
            <wp:extent cx="2697979" cy="2662763"/>
            <wp:effectExtent l="0" t="0" r="0" b="0"/>
            <wp:docPr id="3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7979" cy="2662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1C11" w:rsidRDefault="00E62391">
      <w:pPr>
        <w:keepNext/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>Imagem 1:</w:t>
      </w:r>
      <w:r>
        <w:rPr>
          <w:rFonts w:ascii="Arial Narrow" w:eastAsia="Arial Narrow" w:hAnsi="Arial Narrow" w:cs="Arial Narrow"/>
          <w:sz w:val="20"/>
          <w:szCs w:val="20"/>
        </w:rPr>
        <w:t xml:space="preserve"> Vidrarias do laboratório da escola CIEP.</w:t>
      </w:r>
    </w:p>
    <w:p w:rsidR="00221C11" w:rsidRDefault="00E62391">
      <w:pPr>
        <w:keepNext/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>Fonte:</w:t>
      </w:r>
      <w:r>
        <w:rPr>
          <w:rFonts w:ascii="Arial Narrow" w:eastAsia="Arial Narrow" w:hAnsi="Arial Narrow" w:cs="Arial Narrow"/>
          <w:sz w:val="20"/>
          <w:szCs w:val="20"/>
        </w:rPr>
        <w:t xml:space="preserve"> PIBID – CIEP.</w:t>
      </w:r>
    </w:p>
    <w:p w:rsidR="00221C11" w:rsidRDefault="00221C11">
      <w:pPr>
        <w:keepNext/>
        <w:jc w:val="both"/>
      </w:pPr>
    </w:p>
    <w:p w:rsidR="00221C11" w:rsidRDefault="00E62391">
      <w:pPr>
        <w:keepNext/>
        <w:jc w:val="both"/>
      </w:pPr>
      <w:r>
        <w:rPr>
          <w:rFonts w:ascii="Arial Narrow" w:eastAsia="Arial Narrow" w:hAnsi="Arial Narrow" w:cs="Arial Narrow"/>
        </w:rPr>
        <w:t>Destaca-se que no ano de 2014, ano de início das atividades do PIBID na escola CIEP, foi realizado um diagnóstico inicial, buscando identificar as principais áreas e formas de atuação do programa neste ambiente escolar. A partir deste diagnóstico foi const</w:t>
      </w:r>
      <w:r>
        <w:rPr>
          <w:rFonts w:ascii="Arial Narrow" w:eastAsia="Arial Narrow" w:hAnsi="Arial Narrow" w:cs="Arial Narrow"/>
        </w:rPr>
        <w:t>ruído o Dossiê Socioantropológico da escola CIEP, de modo que uma das constatações a que se chegou foi a de que os materiais de laboratório haviam sido adquiridos há pouco tempo, porém continuavam sem uso. Logo, a revitalização deste espaço tonou-se uma da</w:t>
      </w:r>
      <w:r>
        <w:rPr>
          <w:rFonts w:ascii="Arial Narrow" w:eastAsia="Arial Narrow" w:hAnsi="Arial Narrow" w:cs="Arial Narrow"/>
        </w:rPr>
        <w:t>s prioridades do programa enquanto atuante na escola CIEP.</w:t>
      </w:r>
    </w:p>
    <w:p w:rsidR="00221C11" w:rsidRDefault="00E62391">
      <w:pPr>
        <w:keepNext/>
        <w:jc w:val="both"/>
      </w:pPr>
      <w:r>
        <w:rPr>
          <w:rFonts w:ascii="Arial Narrow" w:eastAsia="Arial Narrow" w:hAnsi="Arial Narrow" w:cs="Arial Narrow"/>
        </w:rPr>
        <w:t>Desta forma, os pibidianos passaram a realizar suas principais atividades no espaço do laboratório de Ciências, entre as quais ocorreram o I Circuito de Experimentos da escola e foram desenvolvidas</w:t>
      </w:r>
      <w:r>
        <w:rPr>
          <w:rFonts w:ascii="Arial Narrow" w:eastAsia="Arial Narrow" w:hAnsi="Arial Narrow" w:cs="Arial Narrow"/>
        </w:rPr>
        <w:t xml:space="preserve"> oficinas pedagógicas abordando temas referentes aos conteúdos de Ciências, porém com viés pedagógico diferenciado, que proporcionasse aos alunos o contato com atividades práticas sempre que possível. Todas estas atividades buscaram a familiarização com o </w:t>
      </w:r>
      <w:r>
        <w:rPr>
          <w:rFonts w:ascii="Arial Narrow" w:eastAsia="Arial Narrow" w:hAnsi="Arial Narrow" w:cs="Arial Narrow"/>
        </w:rPr>
        <w:t>ambiente do laboratório, que pode e deve ser um espaço comum aos alunos dentro do âmbito escolar.</w:t>
      </w:r>
    </w:p>
    <w:p w:rsidR="00221C11" w:rsidRDefault="00221C11">
      <w:pPr>
        <w:keepNext/>
        <w:jc w:val="both"/>
      </w:pPr>
    </w:p>
    <w:p w:rsidR="00221C11" w:rsidRDefault="00E62391">
      <w:pPr>
        <w:keepNext/>
        <w:numPr>
          <w:ilvl w:val="0"/>
          <w:numId w:val="1"/>
        </w:numPr>
        <w:ind w:hanging="432"/>
        <w:jc w:val="both"/>
      </w:pPr>
      <w:r>
        <w:rPr>
          <w:rFonts w:ascii="Arial Narrow" w:eastAsia="Arial Narrow" w:hAnsi="Arial Narrow" w:cs="Arial Narrow"/>
          <w:b/>
        </w:rPr>
        <w:t>3. DETALHAMENTO DAS ATIVIDADES</w:t>
      </w:r>
    </w:p>
    <w:p w:rsidR="00221C11" w:rsidRDefault="00221C11">
      <w:pPr>
        <w:jc w:val="both"/>
      </w:pP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Esta atividade foi elaborada sob a proposta metodológica de Andrade, Diniz e Campos (2011), a qual busca adaptações na metodo</w:t>
      </w:r>
      <w:r>
        <w:rPr>
          <w:rFonts w:ascii="Arial Narrow" w:eastAsia="Arial Narrow" w:hAnsi="Arial Narrow" w:cs="Arial Narrow"/>
        </w:rPr>
        <w:t>logia tradicionalmente utilizada em laboratório, desta forma, de acordo com os autores "[...] visa a um caráter mais investigativo nas aulas práticas." (p. 126). Destacam ainda que "a metodologia é pouco dependente da qualidade da estrutura laboratorial, d</w:t>
      </w:r>
      <w:r>
        <w:rPr>
          <w:rFonts w:ascii="Arial Narrow" w:eastAsia="Arial Narrow" w:hAnsi="Arial Narrow" w:cs="Arial Narrow"/>
        </w:rPr>
        <w:t xml:space="preserve">as preferências pessoais do professor" (p. 130). Deste modo, considerou-se uma metodologia </w:t>
      </w:r>
      <w:r>
        <w:rPr>
          <w:rFonts w:ascii="Arial Narrow" w:eastAsia="Arial Narrow" w:hAnsi="Arial Narrow" w:cs="Arial Narrow"/>
        </w:rPr>
        <w:lastRenderedPageBreak/>
        <w:t>adaptável à realidade da escola CIEP, bem como à necessidade de tornar os alunos o mais atuantes possível no decorrer das práticas.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A atividade de Indicador de pH, f</w:t>
      </w:r>
      <w:r>
        <w:rPr>
          <w:rFonts w:ascii="Arial Narrow" w:eastAsia="Arial Narrow" w:hAnsi="Arial Narrow" w:cs="Arial Narrow"/>
        </w:rPr>
        <w:t>oi contextualizada por meio de uma introdução a respeito de ácidos e bases e as formas de diferenciá-los através de substâncias que promovessem a mudança de coloração conforme o índice de íons H</w:t>
      </w:r>
      <w:r>
        <w:rPr>
          <w:rFonts w:ascii="Arial Narrow" w:eastAsia="Arial Narrow" w:hAnsi="Arial Narrow" w:cs="Arial Narrow"/>
          <w:vertAlign w:val="superscript"/>
        </w:rPr>
        <w:t xml:space="preserve">+ </w:t>
      </w:r>
      <w:r>
        <w:rPr>
          <w:rFonts w:ascii="Arial Narrow" w:eastAsia="Arial Narrow" w:hAnsi="Arial Narrow" w:cs="Arial Narrow"/>
        </w:rPr>
        <w:t>presentes.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Para isto, destacou-se a definição de ácidos e ba</w:t>
      </w:r>
      <w:r>
        <w:rPr>
          <w:rFonts w:ascii="Arial Narrow" w:eastAsia="Arial Narrow" w:hAnsi="Arial Narrow" w:cs="Arial Narrow"/>
        </w:rPr>
        <w:t>ses de Arrhenius, as quais ocorrem em meio aquoso, que se caracterizam como ácidos quando o composto se dissocia liberando íons H</w:t>
      </w:r>
      <w:r>
        <w:rPr>
          <w:rFonts w:ascii="Arial Narrow" w:eastAsia="Arial Narrow" w:hAnsi="Arial Narrow" w:cs="Arial Narrow"/>
          <w:vertAlign w:val="superscript"/>
        </w:rPr>
        <w:t>+</w:t>
      </w:r>
      <w:r>
        <w:rPr>
          <w:rFonts w:ascii="Arial Narrow" w:eastAsia="Arial Narrow" w:hAnsi="Arial Narrow" w:cs="Arial Narrow"/>
        </w:rPr>
        <w:t xml:space="preserve"> e básicos, quando o composto se dissocia liberando OH</w:t>
      </w:r>
      <w:r>
        <w:rPr>
          <w:rFonts w:ascii="Arial Narrow" w:eastAsia="Arial Narrow" w:hAnsi="Arial Narrow" w:cs="Arial Narrow"/>
          <w:vertAlign w:val="superscript"/>
        </w:rPr>
        <w:t>-</w:t>
      </w:r>
      <w:r>
        <w:rPr>
          <w:rFonts w:ascii="Arial Narrow" w:eastAsia="Arial Narrow" w:hAnsi="Arial Narrow" w:cs="Arial Narrow"/>
        </w:rPr>
        <w:t>. Para que este conceito ficasse claro aos alunos, foi apresentada a es</w:t>
      </w:r>
      <w:r>
        <w:rPr>
          <w:rFonts w:ascii="Arial Narrow" w:eastAsia="Arial Narrow" w:hAnsi="Arial Narrow" w:cs="Arial Narrow"/>
        </w:rPr>
        <w:t>cala de pH do repolho roxo (figura 2).</w:t>
      </w:r>
    </w:p>
    <w:p w:rsidR="00221C11" w:rsidRDefault="00E62391">
      <w:pPr>
        <w:jc w:val="center"/>
      </w:pPr>
      <w:r>
        <w:rPr>
          <w:noProof/>
        </w:rPr>
        <w:drawing>
          <wp:inline distT="114300" distB="114300" distL="114300" distR="114300">
            <wp:extent cx="4590065" cy="1466941"/>
            <wp:effectExtent l="0" t="0" r="0" b="0"/>
            <wp:docPr id="5" name="image11.jpg" descr="escala 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escala pH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0065" cy="1466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1C11" w:rsidRDefault="00E62391">
      <w:pPr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Figura 2: </w:t>
      </w:r>
      <w:r>
        <w:rPr>
          <w:rFonts w:ascii="Arial Narrow" w:eastAsia="Arial Narrow" w:hAnsi="Arial Narrow" w:cs="Arial Narrow"/>
          <w:sz w:val="20"/>
          <w:szCs w:val="20"/>
        </w:rPr>
        <w:t>Escala de pH</w:t>
      </w:r>
    </w:p>
    <w:p w:rsidR="00221C11" w:rsidRDefault="00E62391">
      <w:pPr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>Fonte:</w:t>
      </w:r>
      <w:hyperlink r:id="rId9">
        <w:r>
          <w:rPr>
            <w:rFonts w:ascii="Arial Narrow" w:eastAsia="Arial Narrow" w:hAnsi="Arial Narrow" w:cs="Arial Narrow"/>
            <w:color w:val="1155CC"/>
            <w:sz w:val="20"/>
            <w:szCs w:val="20"/>
            <w:u w:val="single"/>
          </w:rPr>
          <w:t>https://pequenoscientistassanjoanenses.wordpress.com/2009/11/10/cou</w:t>
        </w:r>
        <w:r>
          <w:rPr>
            <w:rFonts w:ascii="Arial Narrow" w:eastAsia="Arial Narrow" w:hAnsi="Arial Narrow" w:cs="Arial Narrow"/>
            <w:color w:val="1155CC"/>
            <w:sz w:val="20"/>
            <w:szCs w:val="20"/>
            <w:u w:val="single"/>
          </w:rPr>
          <w:t>ve-roxa-indicador-de-ph-caseiro/</w:t>
        </w:r>
      </w:hyperlink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221C11" w:rsidRDefault="00221C11">
      <w:pPr>
        <w:jc w:val="both"/>
      </w:pP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 xml:space="preserve">Solicitou-se a observação da numeração na escala de pH, relacionando à coloração que as substâncias deveriam ficar. Desta maneira, analisou-se que, para as substâncias ácidas, a coloração ficaria vermelha ou cor-de-rosa forte, quanto menor fosse o número, </w:t>
      </w:r>
      <w:r>
        <w:rPr>
          <w:rFonts w:ascii="Arial Narrow" w:eastAsia="Arial Narrow" w:hAnsi="Arial Narrow" w:cs="Arial Narrow"/>
        </w:rPr>
        <w:t>ou seja, quanto mais ácida fosse a substância. No entanto, para as substâncias básicas, quanto maior o número, mais azul ou verde seria a coloração final. E por fim, substâncias que permanecessem com tonalidades entre lilás e roxo são consideradas neutras.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A partir desta introdução ao tema, foram apresentadas seis substâncias aos alunos - suco de limão, leite, vinagre, solução de sabão em pó, água e condicionador - de modo que após distribuídas em conjuntos de cinco tubos de ensaio por dupla, acrescentou-se</w:t>
      </w:r>
      <w:r>
        <w:rPr>
          <w:rFonts w:ascii="Arial Narrow" w:eastAsia="Arial Narrow" w:hAnsi="Arial Narrow" w:cs="Arial Narrow"/>
        </w:rPr>
        <w:t xml:space="preserve"> o extrato de repolho roxo.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O suco de limão deveria ficar vermelho; o vinagre, cor-de-rosa; a solução de sabão em pó, verde e o condicionador, o leite e a água variariam entre diferentes tonalidades de roxo e lilás (figura 3).</w:t>
      </w:r>
    </w:p>
    <w:p w:rsidR="00221C11" w:rsidRDefault="00E62391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2729706" cy="2361326"/>
            <wp:effectExtent l="0" t="0" r="0" b="0"/>
            <wp:docPr id="4" name="image10.jpg" descr="WP_20160523_16_12_43_Pr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WP_20160523_16_12_43_Pro (2)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9706" cy="2361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1C11" w:rsidRDefault="00E62391">
      <w:pPr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Figura 3: </w:t>
      </w:r>
      <w:r>
        <w:rPr>
          <w:rFonts w:ascii="Arial Narrow" w:eastAsia="Arial Narrow" w:hAnsi="Arial Narrow" w:cs="Arial Narrow"/>
          <w:sz w:val="20"/>
          <w:szCs w:val="20"/>
        </w:rPr>
        <w:t>Colorações das su</w:t>
      </w:r>
      <w:r>
        <w:rPr>
          <w:rFonts w:ascii="Arial Narrow" w:eastAsia="Arial Narrow" w:hAnsi="Arial Narrow" w:cs="Arial Narrow"/>
          <w:sz w:val="20"/>
          <w:szCs w:val="20"/>
        </w:rPr>
        <w:t>bstâncias ácidas, básicas e neutras.</w:t>
      </w:r>
    </w:p>
    <w:p w:rsidR="00221C11" w:rsidRDefault="00E62391">
      <w:pPr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Fonte: </w:t>
      </w:r>
      <w:r>
        <w:rPr>
          <w:rFonts w:ascii="Arial Narrow" w:eastAsia="Arial Narrow" w:hAnsi="Arial Narrow" w:cs="Arial Narrow"/>
          <w:sz w:val="20"/>
          <w:szCs w:val="20"/>
        </w:rPr>
        <w:t>PIBID - CIEP.</w:t>
      </w:r>
    </w:p>
    <w:p w:rsidR="00221C11" w:rsidRDefault="00221C11">
      <w:pPr>
        <w:jc w:val="center"/>
      </w:pP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Ressalta-se que os alunos foram orientados a preencher um relatório no qual constariam suas observações individuais. Assim, as colorações de cada substância após a adição do indicador, deveriam ser</w:t>
      </w:r>
      <w:r>
        <w:rPr>
          <w:rFonts w:ascii="Arial Narrow" w:eastAsia="Arial Narrow" w:hAnsi="Arial Narrow" w:cs="Arial Narrow"/>
        </w:rPr>
        <w:t xml:space="preserve"> registradas em um quadro, o qual corresponde à primeira etapa do relatório, conforme a figura 4.</w:t>
      </w:r>
    </w:p>
    <w:p w:rsidR="00221C11" w:rsidRDefault="00E62391">
      <w:pPr>
        <w:jc w:val="center"/>
      </w:pPr>
      <w:r>
        <w:rPr>
          <w:noProof/>
        </w:rPr>
        <w:drawing>
          <wp:inline distT="0" distB="0" distL="0" distR="0">
            <wp:extent cx="4572000" cy="1219200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1C11" w:rsidRDefault="00E62391">
      <w:pPr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Figura 4: </w:t>
      </w:r>
      <w:r>
        <w:rPr>
          <w:rFonts w:ascii="Arial Narrow" w:eastAsia="Arial Narrow" w:hAnsi="Arial Narrow" w:cs="Arial Narrow"/>
          <w:sz w:val="20"/>
          <w:szCs w:val="20"/>
        </w:rPr>
        <w:t>Quadro registro de colorações.</w:t>
      </w:r>
    </w:p>
    <w:p w:rsidR="00221C11" w:rsidRDefault="00E62391">
      <w:pPr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Fonte: </w:t>
      </w:r>
      <w:r>
        <w:rPr>
          <w:rFonts w:ascii="Arial Narrow" w:eastAsia="Arial Narrow" w:hAnsi="Arial Narrow" w:cs="Arial Narrow"/>
          <w:sz w:val="20"/>
          <w:szCs w:val="20"/>
        </w:rPr>
        <w:t>PIBID - CIEP.</w:t>
      </w:r>
    </w:p>
    <w:p w:rsidR="00221C11" w:rsidRDefault="00221C11">
      <w:pPr>
        <w:jc w:val="center"/>
      </w:pP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Após esta análise, os alunos responderam a uma segunda etapa do relatório referente ao experimento: Quais são as substâncias ácidas utilizadas no experimento?; Quais foram as substâncias básicas usadas no experimento?; Foi utilizada alguma substância neutr</w:t>
      </w:r>
      <w:r>
        <w:rPr>
          <w:rFonts w:ascii="Arial Narrow" w:eastAsia="Arial Narrow" w:hAnsi="Arial Narrow" w:cs="Arial Narrow"/>
        </w:rPr>
        <w:t>a no experimento? Qual?; O que faz com que o pigmento do repolho roxo mude de cor ao entrar em contato com as substâncias que foram usadas?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 xml:space="preserve">Nesta atividade, o relatório teve principal função de registro de cada etapa do experimento conforme as observações </w:t>
      </w:r>
      <w:r>
        <w:rPr>
          <w:rFonts w:ascii="Arial Narrow" w:eastAsia="Arial Narrow" w:hAnsi="Arial Narrow" w:cs="Arial Narrow"/>
        </w:rPr>
        <w:t>individuais dos alunos, pois de acordo com Hoffmann (2014), "os registros em avaliação são dados de uma história vivida entre educadores e educandos". Assim, tais relatórios puderam ser posteriormente utilizados como instrumentos de avaliação desta ativida</w:t>
      </w:r>
      <w:r>
        <w:rPr>
          <w:rFonts w:ascii="Arial Narrow" w:eastAsia="Arial Narrow" w:hAnsi="Arial Narrow" w:cs="Arial Narrow"/>
        </w:rPr>
        <w:t>de.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lastRenderedPageBreak/>
        <w:t>O relatório é uma forma de organização das ideias dos alunos, uma vez que em atividades práticas podem ocorrer variações entre os resultados, torna-se importante este registro para que o professor acompanhe o desenvolvimento individual e do grupo.</w:t>
      </w:r>
    </w:p>
    <w:p w:rsidR="00221C11" w:rsidRDefault="00221C11">
      <w:pPr>
        <w:ind w:firstLine="709"/>
        <w:jc w:val="both"/>
      </w:pPr>
    </w:p>
    <w:p w:rsidR="00221C11" w:rsidRDefault="00E62391">
      <w:pPr>
        <w:keepNext/>
        <w:numPr>
          <w:ilvl w:val="0"/>
          <w:numId w:val="1"/>
        </w:numPr>
        <w:ind w:hanging="432"/>
        <w:jc w:val="both"/>
      </w:pPr>
      <w:r>
        <w:rPr>
          <w:rFonts w:ascii="Arial Narrow" w:eastAsia="Arial Narrow" w:hAnsi="Arial Narrow" w:cs="Arial Narrow"/>
          <w:b/>
        </w:rPr>
        <w:t xml:space="preserve">4. </w:t>
      </w:r>
      <w:r>
        <w:rPr>
          <w:rFonts w:ascii="Arial Narrow" w:eastAsia="Arial Narrow" w:hAnsi="Arial Narrow" w:cs="Arial Narrow"/>
          <w:b/>
        </w:rPr>
        <w:t>ANÁLISE E DISCUSSÃO DO RELATO</w:t>
      </w:r>
    </w:p>
    <w:p w:rsidR="00221C11" w:rsidRDefault="00221C11">
      <w:pPr>
        <w:jc w:val="both"/>
      </w:pP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Partindo da análise dos dados obtidos dos relatórios da prática executada, nota-se que os alunos conseguiram alcançar os resultados esperados, mesmo que ocorrendo pequenas variações.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A verificação da primeira etapa do relatór</w:t>
      </w:r>
      <w:r>
        <w:rPr>
          <w:rFonts w:ascii="Arial Narrow" w:eastAsia="Arial Narrow" w:hAnsi="Arial Narrow" w:cs="Arial Narrow"/>
        </w:rPr>
        <w:t>io, correspondente ao preenchimento do quadro de colorações, permitiu observar que, após a adição do indicador no tubo de ensaio contendo vinagre, 71,4% dos alunos obteve a coloração rosa e 19% registrou a coloração rosa fraco. Já para as amostras de água,</w:t>
      </w:r>
      <w:r>
        <w:rPr>
          <w:rFonts w:ascii="Arial Narrow" w:eastAsia="Arial Narrow" w:hAnsi="Arial Narrow" w:cs="Arial Narrow"/>
        </w:rPr>
        <w:t xml:space="preserve"> foram registradas as mesmas proporções anteriores, para as colorações roxo e lilás, respectivamente. Para estas duas substâncias, 9,5% dos alunos obteve coloração roxo e rosa, respectivamente.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 xml:space="preserve">Quando o indicador foi adicionado ao suco de limão, 71,4% dos </w:t>
      </w:r>
      <w:r>
        <w:rPr>
          <w:rFonts w:ascii="Arial Narrow" w:eastAsia="Arial Narrow" w:hAnsi="Arial Narrow" w:cs="Arial Narrow"/>
        </w:rPr>
        <w:t>alunos observaram a mudança para a coloração vermelha e os 28, 6% restantes para rosa. Quanto às substâncias solução de sabão em pó, condicionador e leite, 100% dos alunos obtiveram as colorações verde, lilás e lilás, nesta ordem.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Em relação à segunda etap</w:t>
      </w:r>
      <w:r>
        <w:rPr>
          <w:rFonts w:ascii="Arial Narrow" w:eastAsia="Arial Narrow" w:hAnsi="Arial Narrow" w:cs="Arial Narrow"/>
        </w:rPr>
        <w:t xml:space="preserve">a do relatório, equivalente às questões: p1: quais são as substâncias ácidas utilizadas no experimento?; p2: quais foram as substâncias básicas utilizadas no experimento?; p3: foi utilizada alguma substância neutra no experimento? qual(is)?; p4: o que faz </w:t>
      </w:r>
      <w:r>
        <w:rPr>
          <w:rFonts w:ascii="Arial Narrow" w:eastAsia="Arial Narrow" w:hAnsi="Arial Narrow" w:cs="Arial Narrow"/>
        </w:rPr>
        <w:t xml:space="preserve">com que o pigmento do repolho roxo mude de cor ao entrar em contato com as substâncias usadas? 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Para p1, 100% dos alunos considerou que limão e vinagre foram as substâncias ácidas utilizadas, para p2, 47, 6% respondeu que a solução de sabão em pó foi a úni</w:t>
      </w:r>
      <w:r>
        <w:rPr>
          <w:rFonts w:ascii="Arial Narrow" w:eastAsia="Arial Narrow" w:hAnsi="Arial Narrow" w:cs="Arial Narrow"/>
        </w:rPr>
        <w:t>ca substância básica utilizada, enquanto 42,9% considerou que condicionador e leite eram substâncias básicas e os 9,5% restantes apontaram água, leite e solução de sabão em pó como substâncias básicas utilizadas.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 xml:space="preserve">Para p2, a maioria de 57,1% considerou que </w:t>
      </w:r>
      <w:r>
        <w:rPr>
          <w:rFonts w:ascii="Arial Narrow" w:eastAsia="Arial Narrow" w:hAnsi="Arial Narrow" w:cs="Arial Narrow"/>
        </w:rPr>
        <w:t>água, leite e condicionador foram as substâncias neutras utilizadas, enquanto 42,8% apontou apenas a água como substância neutra do experimento.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Para p3, as respostas foram variadas, indo desde as mais básicas até as mais complexas, conforme a figura 5.</w:t>
      </w:r>
    </w:p>
    <w:p w:rsidR="00221C11" w:rsidRDefault="00E62391">
      <w:pPr>
        <w:jc w:val="center"/>
      </w:pPr>
      <w:r>
        <w:rPr>
          <w:noProof/>
        </w:rPr>
        <w:lastRenderedPageBreak/>
        <w:drawing>
          <wp:inline distT="0" distB="0" distL="0" distR="0">
            <wp:extent cx="3639013" cy="2251640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9013" cy="2251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1C11" w:rsidRDefault="00E62391">
      <w:pPr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Figura 5: </w:t>
      </w:r>
      <w:r>
        <w:rPr>
          <w:rFonts w:ascii="Arial Narrow" w:eastAsia="Arial Narrow" w:hAnsi="Arial Narrow" w:cs="Arial Narrow"/>
          <w:sz w:val="20"/>
          <w:szCs w:val="20"/>
        </w:rPr>
        <w:t>Quadro registro de colorações.</w:t>
      </w:r>
    </w:p>
    <w:p w:rsidR="00221C11" w:rsidRDefault="00E62391">
      <w:pPr>
        <w:jc w:val="center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Fonte: </w:t>
      </w:r>
      <w:r>
        <w:rPr>
          <w:rFonts w:ascii="Arial Narrow" w:eastAsia="Arial Narrow" w:hAnsi="Arial Narrow" w:cs="Arial Narrow"/>
          <w:sz w:val="20"/>
          <w:szCs w:val="20"/>
        </w:rPr>
        <w:t>PIBID - CIEP.</w:t>
      </w:r>
    </w:p>
    <w:p w:rsidR="00221C11" w:rsidRDefault="00221C11">
      <w:pPr>
        <w:jc w:val="center"/>
      </w:pP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A partir do gráfico pode-se notar que 38,1% dos alunos respondeu que é a reação de uma substância química com outra que causa a mudança de coloração. As respostas com menores porcentagens corre</w:t>
      </w:r>
      <w:r>
        <w:rPr>
          <w:rFonts w:ascii="Arial Narrow" w:eastAsia="Arial Narrow" w:hAnsi="Arial Narrow" w:cs="Arial Narrow"/>
        </w:rPr>
        <w:t>spondem a 4,8% cada uma, entre as quais destacam-se as respostas de dois alunos:</w:t>
      </w:r>
    </w:p>
    <w:p w:rsidR="00221C11" w:rsidRDefault="00E62391">
      <w:pPr>
        <w:ind w:left="720"/>
        <w:jc w:val="both"/>
      </w:pPr>
      <w:r>
        <w:rPr>
          <w:rFonts w:ascii="Arial Narrow" w:eastAsia="Arial Narrow" w:hAnsi="Arial Narrow" w:cs="Arial Narrow"/>
        </w:rPr>
        <w:t xml:space="preserve">Aluno 7: </w:t>
      </w:r>
      <w:r>
        <w:rPr>
          <w:rFonts w:ascii="Arial Narrow" w:eastAsia="Arial Narrow" w:hAnsi="Arial Narrow" w:cs="Arial Narrow"/>
          <w:i/>
        </w:rPr>
        <w:t>o repolho roxo tem uma substância base que quando misturamos ele torna uma cor diferente. Mas só o repolho roxo torna outra cor quando misturar com outra substância.</w:t>
      </w:r>
    </w:p>
    <w:p w:rsidR="00221C11" w:rsidRDefault="00E62391">
      <w:pPr>
        <w:ind w:left="720"/>
        <w:jc w:val="both"/>
      </w:pPr>
      <w:r>
        <w:rPr>
          <w:rFonts w:ascii="Arial Narrow" w:eastAsia="Arial Narrow" w:hAnsi="Arial Narrow" w:cs="Arial Narrow"/>
        </w:rPr>
        <w:t xml:space="preserve">Aluno 14: </w:t>
      </w:r>
      <w:r>
        <w:rPr>
          <w:rFonts w:ascii="Arial Narrow" w:eastAsia="Arial Narrow" w:hAnsi="Arial Narrow" w:cs="Arial Narrow"/>
          <w:i/>
        </w:rPr>
        <w:t>o repolho roxo tem uma substância que em contato com ácidos, básicos e neutros ele reage para identificar a substância de cada um.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A partir dos relatos,  percebe-se que a prática foi importante para a problematização do tema ácidos e bases, geran</w:t>
      </w:r>
      <w:r>
        <w:rPr>
          <w:rFonts w:ascii="Arial Narrow" w:eastAsia="Arial Narrow" w:hAnsi="Arial Narrow" w:cs="Arial Narrow"/>
        </w:rPr>
        <w:t>do questionamentos pertinentes quanto à diferenciação das substâncias, de modo que ao final da atividade, esclareceu-se que as substâncias ácidas eram suco de limão e vinagre, as neutras, a água, o leite e o condicionador e a única substância básica utiliz</w:t>
      </w:r>
      <w:r>
        <w:rPr>
          <w:rFonts w:ascii="Arial Narrow" w:eastAsia="Arial Narrow" w:hAnsi="Arial Narrow" w:cs="Arial Narrow"/>
        </w:rPr>
        <w:t>ada foi a solução de sabão em pó, fazendo uso da escala de pH com as colorações correspondentes para o indicador de repolho roxo.</w:t>
      </w:r>
    </w:p>
    <w:p w:rsidR="00221C11" w:rsidRDefault="00221C11">
      <w:pPr>
        <w:jc w:val="both"/>
      </w:pPr>
    </w:p>
    <w:p w:rsidR="00221C11" w:rsidRDefault="00E62391">
      <w:pPr>
        <w:numPr>
          <w:ilvl w:val="0"/>
          <w:numId w:val="1"/>
        </w:numPr>
        <w:ind w:hanging="432"/>
        <w:jc w:val="both"/>
      </w:pPr>
      <w:r>
        <w:rPr>
          <w:rFonts w:ascii="Arial Narrow" w:eastAsia="Arial Narrow" w:hAnsi="Arial Narrow" w:cs="Arial Narrow"/>
          <w:b/>
        </w:rPr>
        <w:t>5. CONSIDERAÇÕES FINAIS</w:t>
      </w:r>
    </w:p>
    <w:p w:rsidR="00221C11" w:rsidRDefault="00221C11">
      <w:pPr>
        <w:numPr>
          <w:ilvl w:val="0"/>
          <w:numId w:val="1"/>
        </w:numPr>
        <w:ind w:hanging="432"/>
        <w:jc w:val="both"/>
        <w:rPr>
          <w:rFonts w:ascii="Arial Narrow" w:eastAsia="Arial Narrow" w:hAnsi="Arial Narrow" w:cs="Arial Narrow"/>
        </w:rPr>
      </w:pP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Esta abordagem propôs, como objetivo geral, a reativação do laboratório de Ciências da escola CIEP, buscando utilizar tanto do espaço físico disponível, quanto dos materiais, entre os quais vidrarias e microscópio óptico. Desta forma, os objetivos específi</w:t>
      </w:r>
      <w:r>
        <w:rPr>
          <w:rFonts w:ascii="Arial Narrow" w:eastAsia="Arial Narrow" w:hAnsi="Arial Narrow" w:cs="Arial Narrow"/>
        </w:rPr>
        <w:t>cos foram oportunizar aos alunos o contato com os materiais e métodos de laboratório, de forma a contribuir para que o processo de construção de conhecimento ácido e bases ocorresse de maneira significativa.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Cada encontro do projeto foi enriquecedor para o</w:t>
      </w:r>
      <w:r>
        <w:rPr>
          <w:rFonts w:ascii="Arial Narrow" w:eastAsia="Arial Narrow" w:hAnsi="Arial Narrow" w:cs="Arial Narrow"/>
        </w:rPr>
        <w:t xml:space="preserve"> aprendizado, não só dos alunos participantes, como também da bolsista, que busca o aperfeiçoamento de sua prática em sala de aula, enquanto licencianda.  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lastRenderedPageBreak/>
        <w:t>Considera-se que o projeto PIBID envolve a equipe diretiva, professores e demais membros da comunida</w:t>
      </w:r>
      <w:r>
        <w:rPr>
          <w:rFonts w:ascii="Arial Narrow" w:eastAsia="Arial Narrow" w:hAnsi="Arial Narrow" w:cs="Arial Narrow"/>
        </w:rPr>
        <w:t xml:space="preserve">de escolar, pois o grupo de pibidianos atuantes na escola CIEP trabalha de forma integrada, o que é fundamental para que toda e qualquer atividade proposta ocorra como o esperado, buscando oferecer o melhor possível aos alunos. 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Quanto a utilização do espa</w:t>
      </w:r>
      <w:r>
        <w:rPr>
          <w:rFonts w:ascii="Arial Narrow" w:eastAsia="Arial Narrow" w:hAnsi="Arial Narrow" w:cs="Arial Narrow"/>
        </w:rPr>
        <w:t>ço físico, solicitada pela direção da escola, acredita-se que atividades realizadas em laboratório contribuem de forma expressiva para a qualidade do ensino de Ciências, por tornar-se um espaço de atuação direta, em especial dos alunos, pois é preciso faze</w:t>
      </w:r>
      <w:r>
        <w:rPr>
          <w:rFonts w:ascii="Arial Narrow" w:eastAsia="Arial Narrow" w:hAnsi="Arial Narrow" w:cs="Arial Narrow"/>
        </w:rPr>
        <w:t>r com que a escola e seus diversos ambientes sejam locais que favoreçam aos alunos no processo de ensino-aprendizagem.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Em relação aos dados obtidos através dos relatórios de atividade experimental, notou-se que algumas respostas foram contraditórias, não c</w:t>
      </w:r>
      <w:r>
        <w:rPr>
          <w:rFonts w:ascii="Arial Narrow" w:eastAsia="Arial Narrow" w:hAnsi="Arial Narrow" w:cs="Arial Narrow"/>
        </w:rPr>
        <w:t>orrespondendo ao esperado, este fato apresenta a necessidade de sequência do projeto, para que o tema ácidos e bases seja aprofundado através de técnicas diferentes, pois deve-se considerar que cada aluno tem seu tempo e forma de aprender e essas caracterí</w:t>
      </w:r>
      <w:r>
        <w:rPr>
          <w:rFonts w:ascii="Arial Narrow" w:eastAsia="Arial Narrow" w:hAnsi="Arial Narrow" w:cs="Arial Narrow"/>
        </w:rPr>
        <w:t>sticas são únicas e devem ser consideradas para um bom planejamento.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No tocante ao conteúdo, considera-se que os alunos foram capazes de diferenciar as substâncias ácidas, básicas e neutras, por meio da utilização da escala de pH, bem como identificar as c</w:t>
      </w:r>
      <w:r>
        <w:rPr>
          <w:rFonts w:ascii="Arial Narrow" w:eastAsia="Arial Narrow" w:hAnsi="Arial Narrow" w:cs="Arial Narrow"/>
        </w:rPr>
        <w:t>aracterísticas de cada substância para que adquirissem as colorações correspondentes.</w:t>
      </w: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>Neste sentido, o tema será incluso em uma nova proposta, que visa a participação dos professores de ciências atuantes na escola CIEP para a elaboração de atividades conte</w:t>
      </w:r>
      <w:r>
        <w:rPr>
          <w:rFonts w:ascii="Arial Narrow" w:eastAsia="Arial Narrow" w:hAnsi="Arial Narrow" w:cs="Arial Narrow"/>
        </w:rPr>
        <w:t xml:space="preserve">xtualizadas com o que está sendo estudado em sala de aula, proporcionando a interpretação de um mesmo tema sob diferentes aspectos. </w:t>
      </w:r>
    </w:p>
    <w:p w:rsidR="00221C11" w:rsidRDefault="00E62391">
      <w:pPr>
        <w:ind w:left="720"/>
      </w:pPr>
      <w:r>
        <w:rPr>
          <w:rFonts w:ascii="Arial Narrow" w:eastAsia="Arial Narrow" w:hAnsi="Arial Narrow" w:cs="Arial Narrow"/>
        </w:rPr>
        <w:t xml:space="preserve"> </w:t>
      </w:r>
    </w:p>
    <w:p w:rsidR="00221C11" w:rsidRDefault="00E62391">
      <w:pPr>
        <w:keepNext/>
        <w:numPr>
          <w:ilvl w:val="0"/>
          <w:numId w:val="1"/>
        </w:numPr>
        <w:ind w:hanging="432"/>
        <w:jc w:val="both"/>
      </w:pPr>
      <w:r>
        <w:rPr>
          <w:rFonts w:ascii="Arial Narrow" w:eastAsia="Arial Narrow" w:hAnsi="Arial Narrow" w:cs="Arial Narrow"/>
          <w:b/>
        </w:rPr>
        <w:t xml:space="preserve">6. REFERÊNCIAS </w:t>
      </w:r>
    </w:p>
    <w:p w:rsidR="00221C11" w:rsidRDefault="00221C11">
      <w:pPr>
        <w:jc w:val="both"/>
      </w:pPr>
    </w:p>
    <w:p w:rsidR="00221C11" w:rsidRDefault="00E62391">
      <w:pPr>
        <w:jc w:val="both"/>
      </w:pPr>
      <w:r>
        <w:rPr>
          <w:rFonts w:ascii="Arial Narrow" w:eastAsia="Arial Narrow" w:hAnsi="Arial Narrow" w:cs="Arial Narrow"/>
        </w:rPr>
        <w:t xml:space="preserve">ANDRADE, A. C. DINIZ, L. G. CAMPOS, J.C.C. </w:t>
      </w:r>
      <w:r>
        <w:rPr>
          <w:rFonts w:ascii="Arial Narrow" w:eastAsia="Arial Narrow" w:hAnsi="Arial Narrow" w:cs="Arial Narrow"/>
          <w:b/>
        </w:rPr>
        <w:t>Uma metodologia de ensino para disciplinas de laboratório did</w:t>
      </w:r>
      <w:r>
        <w:rPr>
          <w:rFonts w:ascii="Arial Narrow" w:eastAsia="Arial Narrow" w:hAnsi="Arial Narrow" w:cs="Arial Narrow"/>
          <w:b/>
        </w:rPr>
        <w:t>ático</w:t>
      </w:r>
      <w:r>
        <w:rPr>
          <w:rFonts w:ascii="Arial Narrow" w:eastAsia="Arial Narrow" w:hAnsi="Arial Narrow" w:cs="Arial Narrow"/>
        </w:rPr>
        <w:t>. Revista Docência do Ensino Superior. Belo Horizonte, v. 1, p. 126 – 142, 2011.</w:t>
      </w:r>
    </w:p>
    <w:p w:rsidR="00221C11" w:rsidRDefault="00221C11"/>
    <w:p w:rsidR="00221C11" w:rsidRDefault="00E62391">
      <w:r>
        <w:rPr>
          <w:rFonts w:ascii="Arial Narrow" w:eastAsia="Arial Narrow" w:hAnsi="Arial Narrow" w:cs="Arial Narrow"/>
        </w:rPr>
        <w:t xml:space="preserve">HOFFMANN, Jussara. </w:t>
      </w:r>
      <w:r>
        <w:rPr>
          <w:rFonts w:ascii="Arial Narrow" w:eastAsia="Arial Narrow" w:hAnsi="Arial Narrow" w:cs="Arial Narrow"/>
          <w:b/>
        </w:rPr>
        <w:t xml:space="preserve">Avaliar Para Promover: </w:t>
      </w:r>
      <w:r>
        <w:rPr>
          <w:rFonts w:ascii="Arial Narrow" w:eastAsia="Arial Narrow" w:hAnsi="Arial Narrow" w:cs="Arial Narrow"/>
        </w:rPr>
        <w:t>as setas do caminho. 15 ed. Editora Mediação: Porto Alegre, 2014.</w:t>
      </w:r>
    </w:p>
    <w:p w:rsidR="00221C11" w:rsidRDefault="00221C11">
      <w:bookmarkStart w:id="1" w:name="_gjdgxs" w:colFirst="0" w:colLast="0"/>
      <w:bookmarkEnd w:id="1"/>
    </w:p>
    <w:sectPr w:rsidR="00221C11">
      <w:headerReference w:type="default" r:id="rId13"/>
      <w:footerReference w:type="default" r:id="rId14"/>
      <w:pgSz w:w="11906" w:h="16838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91" w:rsidRDefault="00E62391">
      <w:r>
        <w:separator/>
      </w:r>
    </w:p>
  </w:endnote>
  <w:endnote w:type="continuationSeparator" w:id="0">
    <w:p w:rsidR="00E62391" w:rsidRDefault="00E6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11" w:rsidRDefault="00E62391">
    <w:pPr>
      <w:tabs>
        <w:tab w:val="left" w:pos="307"/>
        <w:tab w:val="right" w:pos="9072"/>
      </w:tabs>
    </w:pPr>
    <w:r>
      <w:rPr>
        <w:rFonts w:ascii="Arial Narrow" w:eastAsia="Arial Narrow" w:hAnsi="Arial Narrow" w:cs="Arial Narrow"/>
        <w:i/>
        <w:sz w:val="20"/>
        <w:szCs w:val="20"/>
      </w:rPr>
      <w:t xml:space="preserve">UNIPAMPA - Campus Uruguaiana                                                                                                                   página </w:t>
    </w:r>
    <w:r>
      <w:fldChar w:fldCharType="begin"/>
    </w:r>
    <w:r>
      <w:instrText>PAGE</w:instrText>
    </w:r>
    <w:r>
      <w:fldChar w:fldCharType="separate"/>
    </w:r>
    <w:r w:rsidR="00792E73">
      <w:rPr>
        <w:noProof/>
      </w:rPr>
      <w:t>1</w:t>
    </w:r>
    <w:r>
      <w:fldChar w:fldCharType="end"/>
    </w:r>
    <w:r>
      <w:t>￼</w:t>
    </w:r>
    <w:r>
      <w:fldChar w:fldCharType="begin"/>
    </w:r>
    <w:r>
      <w:instrText>NUMPAGES</w:instrText>
    </w:r>
    <w:r>
      <w:fldChar w:fldCharType="separate"/>
    </w:r>
    <w:r w:rsidR="00792E73">
      <w:rPr>
        <w:noProof/>
      </w:rPr>
      <w:t>8</w:t>
    </w:r>
    <w:r>
      <w:fldChar w:fldCharType="end"/>
    </w:r>
  </w:p>
  <w:p w:rsidR="00221C11" w:rsidRDefault="00221C11">
    <w:pPr>
      <w:tabs>
        <w:tab w:val="center" w:pos="4419"/>
        <w:tab w:val="right" w:pos="8838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91" w:rsidRDefault="00E62391">
      <w:r>
        <w:separator/>
      </w:r>
    </w:p>
  </w:footnote>
  <w:footnote w:type="continuationSeparator" w:id="0">
    <w:p w:rsidR="00E62391" w:rsidRDefault="00E6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11" w:rsidRDefault="00E62391">
    <w:pPr>
      <w:tabs>
        <w:tab w:val="center" w:pos="4419"/>
        <w:tab w:val="right" w:pos="8838"/>
      </w:tabs>
      <w:spacing w:before="720"/>
      <w:jc w:val="center"/>
    </w:pPr>
    <w:r>
      <w:rPr>
        <w:rFonts w:ascii="Arial Narrow" w:eastAsia="Arial Narrow" w:hAnsi="Arial Narrow" w:cs="Arial Narrow"/>
        <w:b/>
        <w:sz w:val="28"/>
        <w:szCs w:val="28"/>
      </w:rPr>
      <w:t>XIV Encontro sobre Investigação na Escola</w:t>
    </w:r>
    <w:r>
      <w:rPr>
        <w:noProof/>
      </w:rPr>
      <w:drawing>
        <wp:anchor distT="0" distB="0" distL="114935" distR="114935" simplePos="0" relativeHeight="251658240" behindDoc="0" locked="0" layoutInCell="0" hidden="0" allowOverlap="1">
          <wp:simplePos x="0" y="0"/>
          <wp:positionH relativeFrom="margin">
            <wp:posOffset>-252093</wp:posOffset>
          </wp:positionH>
          <wp:positionV relativeFrom="paragraph">
            <wp:posOffset>-190498</wp:posOffset>
          </wp:positionV>
          <wp:extent cx="1188720" cy="738505"/>
          <wp:effectExtent l="0" t="0" r="0" b="0"/>
          <wp:wrapSquare wrapText="bothSides" distT="0" distB="0" distL="114935" distR="114935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0" hidden="0" allowOverlap="1">
          <wp:simplePos x="0" y="0"/>
          <wp:positionH relativeFrom="margin">
            <wp:posOffset>5273675</wp:posOffset>
          </wp:positionH>
          <wp:positionV relativeFrom="paragraph">
            <wp:posOffset>-159383</wp:posOffset>
          </wp:positionV>
          <wp:extent cx="589915" cy="742315"/>
          <wp:effectExtent l="0" t="0" r="0" b="0"/>
          <wp:wrapSquare wrapText="bothSides" distT="0" distB="0" distL="114935" distR="114935"/>
          <wp:docPr id="1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91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C11" w:rsidRDefault="00E62391">
    <w:pPr>
      <w:tabs>
        <w:tab w:val="center" w:pos="4419"/>
        <w:tab w:val="right" w:pos="8838"/>
      </w:tabs>
      <w:jc w:val="center"/>
    </w:pPr>
    <w:r>
      <w:rPr>
        <w:rFonts w:ascii="Arial Narrow" w:eastAsia="Arial Narrow" w:hAnsi="Arial Narrow" w:cs="Arial Narrow"/>
        <w:b/>
        <w:sz w:val="28"/>
        <w:szCs w:val="28"/>
      </w:rPr>
      <w:t>"</w:t>
    </w:r>
    <w:r>
      <w:rPr>
        <w:rFonts w:ascii="Arial Narrow" w:eastAsia="Arial Narrow" w:hAnsi="Arial Narrow" w:cs="Arial Narrow"/>
        <w:b/>
        <w:i/>
        <w:sz w:val="28"/>
        <w:szCs w:val="28"/>
      </w:rPr>
      <w:t>Educar para a democracia e a justiça social</w:t>
    </w:r>
    <w:r>
      <w:rPr>
        <w:rFonts w:ascii="Arial Narrow" w:eastAsia="Arial Narrow" w:hAnsi="Arial Narrow" w:cs="Arial Narrow"/>
        <w:b/>
        <w:sz w:val="28"/>
        <w:szCs w:val="28"/>
      </w:rPr>
      <w:t>"</w:t>
    </w:r>
  </w:p>
  <w:p w:rsidR="00221C11" w:rsidRDefault="00E62391">
    <w:pPr>
      <w:tabs>
        <w:tab w:val="center" w:pos="4419"/>
        <w:tab w:val="right" w:pos="8838"/>
      </w:tabs>
      <w:jc w:val="center"/>
    </w:pPr>
    <w:r>
      <w:rPr>
        <w:rFonts w:ascii="Arial Narrow" w:eastAsia="Arial Narrow" w:hAnsi="Arial Narrow" w:cs="Arial Narrow"/>
        <w:b/>
      </w:rPr>
      <w:t>Uruguaiana, 27 e 28 de agosto de 2016</w:t>
    </w:r>
  </w:p>
  <w:p w:rsidR="00221C11" w:rsidRDefault="00221C11">
    <w:pPr>
      <w:tabs>
        <w:tab w:val="center" w:pos="4419"/>
        <w:tab w:val="right" w:pos="8838"/>
      </w:tabs>
      <w:jc w:val="center"/>
    </w:pPr>
  </w:p>
  <w:p w:rsidR="00221C11" w:rsidRDefault="00E62391">
    <w:pPr>
      <w:tabs>
        <w:tab w:val="left" w:pos="4963"/>
      </w:tabs>
    </w:pPr>
    <w:r>
      <w:rPr>
        <w:rFonts w:ascii="Arial Narrow" w:eastAsia="Arial Narrow" w:hAnsi="Arial Narrow" w:cs="Arial Narrow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6883"/>
    <w:multiLevelType w:val="multilevel"/>
    <w:tmpl w:val="6E6CA184"/>
    <w:lvl w:ilvl="0">
      <w:start w:val="1"/>
      <w:numFmt w:val="decimal"/>
      <w:lvlText w:val=""/>
      <w:lvlJc w:val="left"/>
      <w:pPr>
        <w:ind w:left="432" w:firstLine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11"/>
    <w:rsid w:val="00221C11"/>
    <w:rsid w:val="00792E73"/>
    <w:rsid w:val="00E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2325E-225B-4B36-882E-DAA89A2B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pequenoscientistassanjoanenses.wordpress.com/2009/11/10/couve-roxa-indicador-de-ph-caseir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2304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Gabriel</cp:lastModifiedBy>
  <cp:revision>2</cp:revision>
  <dcterms:created xsi:type="dcterms:W3CDTF">2016-11-11T15:40:00Z</dcterms:created>
  <dcterms:modified xsi:type="dcterms:W3CDTF">2016-11-11T15:40:00Z</dcterms:modified>
</cp:coreProperties>
</file>