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DESMISTIFICANDO O UNIVERSO: A FORMAÇÃO DO SISTEMA SOLAR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right"/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iovana Santos dos Santos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(santosdio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vana71@gmail.com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right"/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Leci Kaufmann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leci.kaufmann@gmail.com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Debora 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üller Correa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(profdeboramuller@gmail.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Crisna Daniela Krause Bierhalz (crisnakrause@gmail.com)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Rule="auto"/>
        <w:ind w:left="432" w:firstLine="0"/>
        <w:contextualSpacing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360" w:lineRule="auto"/>
        <w:ind w:left="432" w:hanging="432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1.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-5.999999999999872" w:firstLine="435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Astronomia, segundo os Parâmetros Curriculares Nacionais (PCN,</w:t>
      </w:r>
      <w:r w:rsidDel="00000000" w:rsidR="00000000" w:rsidRPr="00000000">
        <w:rPr>
          <w:rFonts w:ascii="Arial Narrow" w:cs="Arial Narrow" w:eastAsia="Arial Narrow" w:hAnsi="Arial Narrow"/>
          <w:color w:val="ff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1998), vem a  fazer parte do conteúdo dos 3º e 4º Ciclos, ou seja, do 6º ao 9º anos do Ensino Fundamental, onde existe a preferência por aspectos de compreensão da natureza. O que, no  Ensino Médio, é aprofundado através do aperfeiçoamento de fundamentos abstratos, onde se engloba conceitos científicos elucidando o vínculo homem-natureza. Portanto, a Astronomia compõe o quadro de conteúdos do último ano, desta etapa da Educação Básica, com a  busca incessante pela compreensão do universo e sua origem, envolvendo seu movimento e de seus corpos, bem como a constituição dos mesmos e os fenômenos extraterrestres. A mesma também estuda as formas e grandezas relacionadas a distância, origem, evolução e organização dos corpos celestes, bem como a composição e o movimento destes corpos.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Esta temática respalda-se em um ramo relevante para a compreensão da aurora do Universo e esta inserida no eixo das Ciências Naturais através dos PCN para o Ensino de Ciências (1998, p.23), que define a Astronomia como 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“estudo de diferentes conjuntos de fenômenos naturais que geram representações do mundo ao buscar compreensão sobre o Universo, o espaço, o tempo, a matéria, o ser humano, a vida, seus processos e transformações”.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Este assunto tem alcançado uma maior consideração no Ensino Básico, o que é evidenciado através dos PCN, assim, elaborou-se a presente oficina desenvolvida pelo Programa Institucional de Bolsas de Iniciação à Docência - PIBID, no subprojeto Ciências da Natureza da Universidade Federal do Pampa - UNIPAMPA, Campus Dom Pedrito.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-5.999999999999872" w:firstLine="435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Neste trabalho temos como objetivo geral reconhecer a Formação do Sistema Solar através da Teoria do Big Bang. E como objetivos especificos: diferenciar o tamanho dos planetas, bem como sua formação (origem terrosa ou gasosa), conceituar e classificar o que são planetesimais, planetoides, asteroides, meteoros, meteoritos, cometas e planeta anão. Também (re)organizar e aprofundar os conceitos científicos, através da escrita de resumos.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Explorou-se os conceitos de formação do sistema solar, órbitas, cinturão de asteroides, e as  diferenças existentes entre os planetas ( tamanho e a formação).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aplicação se deu com 40 alunos, com idade entre 13 e 15 anos dos oitavo e nono anos do Ensino Fundamental da Escola Municipal de Ensino Fundamental Professor Bernardino Tatu, na cidade de Dom Pedrito - RS.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proposta organizada em oficina busca a vivência de situações de forma concreta e significativa, portanto, como cita VALLE e ARRIADA (2012) “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 metodologia da oficina muda o foco tradicional da aprendizagem (cognição), passando a incorporar a ação e a reflexão. Em outras palavras, numa oficina ocorrem apropriação, construção e produção de conhecimentos teóricos e práticos, de forma ativa e reflexiva.”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Embasado na perspectiva de que para um melhor aproveitamento da aprendizagem, os alunos, necessitam ter uma visão mais abrangente dos assuntos, pensamos nesta prática como um despertar para a informação, focados na problemática de onde viemos? E como surgimos? a qual pensamos respondê-la ao fim deste processo.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Portanto, buscamos aqui eliminar a aprendizagem fragmentada em troca de uma aprendizagem mais significativa religando saberes compartimentados superando o processo de atomização. Para isto propomos uma visão mais contextualizada do assunto fazendo com que o aluno construa sua própria aprendizagem se utilizando da curiosidade, tendo no professor/bolsista apenas um mediador deste conhecim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ento que o instigará a ser um ser crítico através dos próprios saberes. Como afirma FREIRE (1997, p.15),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“Não haveria criatividade sem a curiosidade que nos move e que nos põe pacientemente impacientes diante do mundo que não fizemos, acrescentando a ele algo que fazemos”.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Assim, neste trabalho utilizamos as TIC - Tecnologias da Informação e Comunicação, através do uso de um simulador, que permite que se faça simulações de experimentos, estimulando a procura por informações e a curiosidade, preservando o conhecimento empírico de cada aluno e desenvolvendo sua criticidade.</w:t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283" w:hanging="283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2. CONTEXTO DA EXPERIÊNCIA RELATADA </w:t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283" w:hanging="283"/>
        <w:jc w:val="both"/>
        <w:rPr>
          <w:rFonts w:ascii="Arial Narrow" w:cs="Arial Narrow" w:eastAsia="Arial Narrow" w:hAnsi="Arial Narrow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Escola Municipal de Ensino Fundamental Professor Bernardino Tatú, possui nove salas de aula e uma boa quadra de esportes, conta com um quadro com sete funcionários e vinte e um professores entre séries iniciais e finais. Atualmente a mesma, está inserida no Programa de Bolsas de Iniciação à Docência - PIBID, através da Universidade Federal do Pampa - Unipampa, que teve início no ano de 2015, beneficiando alunos através de projetos pedagógicos.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aplicação se deu com 2 tumas , 40 alunos, com idade entre 13 e 15 anos dos oitavo e nono anos do Ensino Fundamental da Escola Municipal de Ensino Fundamental Professor Bernardino Tatu, na cidade de Dom Pedrito - RS.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432" w:hanging="432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3. DETALHAMENTO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presente oficina, denominada “Desmistificando o Universo - A Formação do Sistema Solar”, foi desenvolvido em cinco momentos, perpassando, o pré-teste, a aplicação dos vídeos, o relatório, o simulador e a construção de cartazes.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 primeiro momento aplicou-se um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pré-teste, com três perguntas. A primeira questão foi “O que é o Universo?”, a segunda “Como surgiu o Universo” e a terceira era “No Universo temos…”, questões estas que os mesmos responderam através de um diálogo. Em um segundo momento, os alunos foram convidados a assistir dois vídeos, o primeiro como recapitulação da oficina anterior, “A Origem do Big Bang” e o segundo “O Universo: A Formação do Sistema Solar”. Foram escolhidos vídeos curtos.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Logo após assistirem aos vídeos, os quais foram pausados e dialogados pelo bolsista, os alunos responderam em forma de relatório o que sabiam sobre o Universo, o que caracterizou o terceiro momento desta oficina.</w:t>
      </w:r>
    </w:p>
    <w:p w:rsidR="00000000" w:rsidDel="00000000" w:rsidP="00000000" w:rsidRDefault="00000000" w:rsidRPr="00000000">
      <w:pPr>
        <w:spacing w:line="240" w:lineRule="auto"/>
        <w:ind w:left="720" w:hanging="3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 figura 1, o momento de confecção dos relatórios.</w:t>
      </w:r>
    </w:p>
    <w:p w:rsidR="00000000" w:rsidDel="00000000" w:rsidP="00000000" w:rsidRDefault="00000000" w:rsidRPr="00000000">
      <w:pPr>
        <w:spacing w:line="240" w:lineRule="auto"/>
        <w:ind w:left="720" w:hanging="3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38513" cy="3338513"/>
            <wp:effectExtent b="12700" l="12700" r="12700" t="12700"/>
            <wp:docPr descr="22.jpg" id="3" name="image05.jpg"/>
            <a:graphic>
              <a:graphicData uri="http://schemas.openxmlformats.org/drawingml/2006/picture">
                <pic:pic>
                  <pic:nvPicPr>
                    <pic:cNvPr descr="22.jpg"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33385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hanging="30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Figura 3: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 Relatório</w:t>
      </w:r>
    </w:p>
    <w:p w:rsidR="00000000" w:rsidDel="00000000" w:rsidP="00000000" w:rsidRDefault="00000000" w:rsidRPr="00000000">
      <w:pPr>
        <w:spacing w:line="240" w:lineRule="auto"/>
        <w:ind w:left="720" w:hanging="30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Autora</w:t>
      </w:r>
    </w:p>
    <w:p w:rsidR="00000000" w:rsidDel="00000000" w:rsidP="00000000" w:rsidRDefault="00000000" w:rsidRPr="00000000">
      <w:pPr>
        <w:spacing w:line="240" w:lineRule="auto"/>
        <w:ind w:hanging="3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 quarto momento, p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ara uma melhor assimilação da temática utilizamos um simulador disponível no site do Ministério da Educação e Cultura (MEC), para que os mesmos fizessem uma viagem através dos planetas do sistema solar, verificando as características de cada um e diferenciando os planetas gasosos, terrosos, planetoides e planetesimais.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fim de finalizarmos a oficina sugerimos a construção de três cartazes. Os alunos foram divididos em grupos e escolheram o tema do cartaz. Os temas propostos foram o Sistema Solar, os Planetas Gasosos e Planetas Terrosos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Na figura 2, os cartazes.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487575" cy="2795007"/>
            <wp:effectExtent b="12700" l="12700" r="12700" t="12700"/>
            <wp:docPr descr="page.jpg" id="4" name="image07.jpg"/>
            <a:graphic>
              <a:graphicData uri="http://schemas.openxmlformats.org/drawingml/2006/picture">
                <pic:pic>
                  <pic:nvPicPr>
                    <pic:cNvPr descr="page.jpg"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7575" cy="2795007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Imagem 2: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Os cartazes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Autora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Após a confecção os cartazes ficaram expostos nos corredores da escola com o intuito de compartilhamento de informações com os demais alunos.</w:t>
      </w:r>
    </w:p>
    <w:p w:rsidR="00000000" w:rsidDel="00000000" w:rsidP="00000000" w:rsidRDefault="00000000" w:rsidRPr="00000000">
      <w:pPr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432" w:hanging="432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4. ANÁLISE E DISCUSSÃO DO RELATO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discussão dos resultados esta baseada em três topicos comparativo entre pré e pós teste, análise dos cartazes produzidos e análise do relatório.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 relação ao pré e pós teste destaca-se que os alunos possuiam conhecimentos relativos aos nomes dos planetas, ao cinturão de asteróides e ao planeta anão, mesmo que relacionado ao senso comum. Através das perguntas, percebeu-se um grande interesse pelo assunto, pois continuaram comentando e exemplificando sobre o assunto, o que nos coloca em desafio para que possamos fazer um trabalho que corresponda as expectativas dos alunos.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Quanto aos relatórios, conseguimos perceber a construção dos conceitos referentes a diferenciação dos planetesimais, planetoides, asteroides, meteoros, meteoritos, cometas e planeta anão. Além disso, é notória a falta de prática dos alunos em escrever, visto que a produção textual ainda considerada como uma tarefa chata e cansativa, o que acarreta na dificuldade desta construção.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Através da construção dos cartazes, conseguimos alcançar nossos objetivos que se definiam com a diferencição do tamanho dos planetas e sua formação, também podemos perceber que dois dos três grupos conseguiram organizar as informações a fim de, colocá-las em prática. Um grupo embora, com integrantes dispostos a trabalhar deixou a desejar na confecção do cartaz, não levando em consideração as órbitas elipticas dos planetas e também a  coletividade do grupo, tornando este trabalho tarefa difícil.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Por fim através de um diálogo com os alunos, conseguimos dar uma atenção especial as dúvidas de cada um, buscando por informações e incentivando-os as pesquisas fora da escola.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432" w:hanging="432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5.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 este encontro concluímos que os alunos querem e merecem uma atenção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especial no ensino da Astronomia, o que se verificou através dos comentários dos mesmos a respeito da oficina. Além disso, verificamos uma grande dificuldade e resistência a escrita, fator muito importante para o desenvolvimento da criticidade e da organização de ideias.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Assim, a fim de resolver tais dificuldades, devemos trazer para a sala de aula assuntos que são de interesse dos alunos, sem abrir mão dos conteúdos que são de necessário trabalho. Podemos também torná-los menos massantes, mais atualizados, com mais imagens que despertem o interesse e a curiosidade de cada um, tendo na Tecnologia uma grande aliada para o desenvolvimento de conceitos científicos e como um item que gera interesse pelas temáticas a serem trabalhadas.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Para concluir, vale ressaltar que através da aplicação destas atividades estamos aprendendo com a troca de conhecimentos entre professor/bolsista e alunos, o que os deixa um legado relativo a vontade de aprender que cada aluno apresenta, o que nos transfere a responsabilidade em fazer mais pelo aluno. Além disso, outros professores podem se inspirar a realizar diferentes atividades como a que estamos expondo neste relato, contribuindo para a aprendizagem de suas turmas.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432" w:hanging="432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6. REFERÊNCIAS BIBLIOGRÁFICAS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BRASIL. Secretaria de Educação Média e Tecnologia.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Parâmetros Curriculares Nacionais: ciências naturais.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Brasília. MEC/SEMTEC.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BRASIL. Secretaria de Educação Média e Tecnologia.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Parâmetros Curriculares Nacionais: terceiro e quarto ciclos do ensino fundamental – ciências naturais.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Brasília. MEC/SEMTEC. 1998.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BRASIL. Ministério da Educação.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Portal do Professor.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Disponível em: </w:t>
      </w:r>
      <w:hyperlink r:id="rId7">
        <w:r w:rsidDel="00000000" w:rsidR="00000000" w:rsidRPr="00000000">
          <w:rPr>
            <w:rFonts w:ascii="Arial Narrow" w:cs="Arial Narrow" w:eastAsia="Arial Narrow" w:hAnsi="Arial Narrow"/>
            <w:rtl w:val="0"/>
          </w:rPr>
          <w:t xml:space="preserve">http://portaldoprofessor.mec.gov.br/index.html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Acesso em: 01 de março de 2016.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BRASIL, Ministério da Educação.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Portal do Professor.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Disponível em: </w:t>
      </w:r>
      <w:hyperlink r:id="rId8">
        <w:r w:rsidDel="00000000" w:rsidR="00000000" w:rsidRPr="00000000">
          <w:rPr>
            <w:rFonts w:ascii="Arial Narrow" w:cs="Arial Narrow" w:eastAsia="Arial Narrow" w:hAnsi="Arial Narrow"/>
            <w:rtl w:val="0"/>
          </w:rPr>
          <w:t xml:space="preserve">http://portaldoprofessor.mec.gov.br/fichaTecnica.html?id=23413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Acesso em: 18 de abril de 2016.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FERRÉS, Joan.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Vídeo e educação.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2. Ed. Porto Alegre: Artes Médicas.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FREIRE, Paulo.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Pedagogia da Autonomia.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Rio de Janeiro: Paz e Terra, 1997.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PIAGET, Jean.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Estudos sociológicos.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Rio de Janeiro: Forense, 1973.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VALLE, Hardalla Santos do, ARRIADA, Eduardo.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“Educar para transformar” A prática das oficinas.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Revista Didática Sistêmica, v. 14, n. 1,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701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07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Fonts w:ascii="Arial Narrow" w:cs="Arial Narrow" w:eastAsia="Arial Narrow" w:hAnsi="Arial Narrow"/>
        <w:b w:val="0"/>
        <w:i w:val="1"/>
        <w:sz w:val="20"/>
        <w:szCs w:val="20"/>
        <w:vertAlign w:val="baseline"/>
        <w:rtl w:val="0"/>
      </w:rPr>
      <w:t xml:space="preserve">UNIPAMPA - Campus Uruguaiana                                                                                                                   página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Fonts w:ascii="Arial Narrow" w:cs="Arial Narrow" w:eastAsia="Arial Narrow" w:hAnsi="Arial Narrow"/>
        <w:b w:val="0"/>
        <w:i w:val="1"/>
        <w:sz w:val="20"/>
        <w:szCs w:val="20"/>
        <w:vertAlign w:val="baseline"/>
        <w:rtl w:val="0"/>
      </w:rPr>
      <w:t xml:space="preserve"> de </w:t>
    </w:r>
    <w:fldSimple w:instr="NUMPAGES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720" w:line="240" w:lineRule="auto"/>
      <w:contextualSpacing w:val="0"/>
      <w:jc w:val="left"/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vertAlign w:val="baseline"/>
        <w:rtl w:val="0"/>
      </w:rPr>
      <w:t xml:space="preserve">XIV Encontro sobre Investigação na Escola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0" locked="0" relativeHeight="0" simplePos="0">
          <wp:simplePos x="0" y="0"/>
          <wp:positionH relativeFrom="margin">
            <wp:posOffset>-252093</wp:posOffset>
          </wp:positionH>
          <wp:positionV relativeFrom="paragraph">
            <wp:posOffset>-190498</wp:posOffset>
          </wp:positionV>
          <wp:extent cx="1188720" cy="738505"/>
          <wp:effectExtent b="0" l="0" r="0" t="0"/>
          <wp:wrapSquare wrapText="bothSides" distB="0" distT="0" distL="114935" distR="114935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720" cy="7385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0" locked="0" relativeHeight="0" simplePos="0">
          <wp:simplePos x="0" y="0"/>
          <wp:positionH relativeFrom="margin">
            <wp:posOffset>5273675</wp:posOffset>
          </wp:positionH>
          <wp:positionV relativeFrom="paragraph">
            <wp:posOffset>-159383</wp:posOffset>
          </wp:positionV>
          <wp:extent cx="589915" cy="742315"/>
          <wp:effectExtent b="0" l="0" r="0" t="0"/>
          <wp:wrapSquare wrapText="bothSides" distB="0" distT="0" distL="114935" distR="114935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915" cy="742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vertAlign w:val="baseline"/>
        <w:rtl w:val="0"/>
      </w:rPr>
      <w:t xml:space="preserve">"</w:t>
    </w:r>
    <w:r w:rsidDel="00000000" w:rsidR="00000000" w:rsidRPr="00000000">
      <w:rPr>
        <w:rFonts w:ascii="Arial Narrow" w:cs="Arial Narrow" w:eastAsia="Arial Narrow" w:hAnsi="Arial Narrow"/>
        <w:b w:val="1"/>
        <w:i w:val="1"/>
        <w:sz w:val="28"/>
        <w:szCs w:val="28"/>
        <w:vertAlign w:val="baseline"/>
        <w:rtl w:val="0"/>
      </w:rPr>
      <w:t xml:space="preserve">Educar para a democracia e a justiça social</w:t>
    </w: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vertAlign w:val="baseline"/>
        <w:rtl w:val="0"/>
      </w:rPr>
      <w:t xml:space="preserve">"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 Narrow" w:cs="Arial Narrow" w:eastAsia="Arial Narrow" w:hAnsi="Arial Narrow"/>
        <w:b w:val="1"/>
        <w:sz w:val="24"/>
        <w:szCs w:val="24"/>
        <w:vertAlign w:val="baseline"/>
        <w:rtl w:val="0"/>
      </w:rPr>
      <w:t xml:space="preserve">Uruguaiana, 27 e 28 de agosto de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4963"/>
      </w:tabs>
      <w:spacing w:after="0" w:before="0" w:line="240" w:lineRule="auto"/>
      <w:contextualSpacing w:val="0"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5.jpg"/><Relationship Id="rId6" Type="http://schemas.openxmlformats.org/officeDocument/2006/relationships/image" Target="media/image07.jpg"/><Relationship Id="rId7" Type="http://schemas.openxmlformats.org/officeDocument/2006/relationships/hyperlink" Target="http://portaldoprofessor.mec.gov.br/index.html" TargetMode="External"/><Relationship Id="rId8" Type="http://schemas.openxmlformats.org/officeDocument/2006/relationships/hyperlink" Target="http://portaldoprofessor.mec.gov.br/fichaTecnica.html?id=2341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1.png"/></Relationships>
</file>