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E9" w:rsidRDefault="00095439">
      <w:pPr>
        <w:rPr>
          <w:b/>
        </w:rPr>
      </w:pPr>
      <w:r>
        <w:rPr>
          <w:noProof/>
        </w:rPr>
        <w:drawing>
          <wp:inline distT="0" distB="0" distL="0" distR="0">
            <wp:extent cx="1498600" cy="545465"/>
            <wp:effectExtent l="0" t="0" r="0" b="0"/>
            <wp:docPr id="1" name="Picture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3935" cy="6223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E9" w:rsidRDefault="00095439">
      <w:r>
        <w:rPr>
          <w:b/>
        </w:rPr>
        <w:t>FICHAMENTO</w:t>
      </w:r>
      <w:r w:rsidR="001408E7">
        <w:rPr>
          <w:b/>
        </w:rPr>
        <w:t xml:space="preserve"> 1</w:t>
      </w:r>
    </w:p>
    <w:p w:rsidR="00D555E9" w:rsidRDefault="00095439">
      <w:r>
        <w:rPr>
          <w:rFonts w:ascii="Times New Roman" w:hAnsi="Times New Roman" w:cs="Arial"/>
          <w:sz w:val="24"/>
          <w:szCs w:val="24"/>
        </w:rPr>
        <w:t>Direito à literatura, Antônio. Candido Prosa e Verso, Rio de Janeiro, dez. 2017.</w:t>
      </w:r>
    </w:p>
    <w:p w:rsidR="00D555E9" w:rsidRDefault="00095439">
      <w:pPr>
        <w:pStyle w:val="PargrafodaLista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Anderson Garcia</w:t>
      </w:r>
    </w:p>
    <w:p w:rsidR="00D555E9" w:rsidRDefault="00D555E9"/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 xml:space="preserve">“Existe em relação ao pobre uma nova atitude, que vai do </w:t>
      </w:r>
      <w:r>
        <w:rPr>
          <w:rFonts w:ascii="Times New Roman" w:hAnsi="Times New Roman"/>
          <w:color w:val="222222"/>
          <w:sz w:val="24"/>
          <w:szCs w:val="24"/>
        </w:rPr>
        <w:t>sentimento de culpa até o medo.”</w:t>
      </w:r>
    </w:p>
    <w:p w:rsidR="00D555E9" w:rsidRDefault="000954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Partindo </w:t>
      </w:r>
      <w:proofErr w:type="spellStart"/>
      <w:r>
        <w:rPr>
          <w:rFonts w:ascii="Times New Roman" w:hAnsi="Times New Roman"/>
          <w:sz w:val="24"/>
          <w:szCs w:val="24"/>
        </w:rPr>
        <w:t>pressuposo</w:t>
      </w:r>
      <w:proofErr w:type="spellEnd"/>
      <w:r>
        <w:rPr>
          <w:rFonts w:ascii="Times New Roman" w:hAnsi="Times New Roman"/>
          <w:sz w:val="24"/>
          <w:szCs w:val="24"/>
        </w:rPr>
        <w:t xml:space="preserve"> que todos têm direitos iguais, independentemente da classe social. Isto demonstra como </w:t>
      </w:r>
      <w:proofErr w:type="spellStart"/>
      <w:r>
        <w:rPr>
          <w:rFonts w:ascii="Times New Roman" w:hAnsi="Times New Roman"/>
          <w:sz w:val="24"/>
          <w:szCs w:val="24"/>
        </w:rPr>
        <w:t>Antonio</w:t>
      </w:r>
      <w:proofErr w:type="spellEnd"/>
      <w:r>
        <w:rPr>
          <w:rFonts w:ascii="Times New Roman" w:hAnsi="Times New Roman"/>
          <w:sz w:val="24"/>
          <w:szCs w:val="24"/>
        </w:rPr>
        <w:t xml:space="preserve"> Candido tem tamanha sensibilidade e conhecimento para com o tema.</w:t>
      </w:r>
    </w:p>
    <w:p w:rsidR="00D555E9" w:rsidRDefault="00D555E9">
      <w:pPr>
        <w:spacing w:line="240" w:lineRule="auto"/>
        <w:jc w:val="both"/>
        <w:rPr>
          <w:color w:val="222222"/>
        </w:rPr>
      </w:pPr>
    </w:p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“Por quê? Porque pensar em direitos human</w:t>
      </w:r>
      <w:r>
        <w:rPr>
          <w:rFonts w:ascii="Times New Roman" w:hAnsi="Times New Roman"/>
          <w:color w:val="222222"/>
          <w:sz w:val="24"/>
          <w:szCs w:val="24"/>
        </w:rPr>
        <w:t>os tem um pressuposto: reconhecer que aquilo que consideramos indispensável para nós é também indispensável para o próximo.”</w:t>
      </w:r>
    </w:p>
    <w:p w:rsidR="00D555E9" w:rsidRDefault="000954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trecho acima, o autor enfatiza que deve haver uma maior distribuição dos bens, incluindo bens não táteis, mas que também, são de</w:t>
      </w:r>
      <w:r>
        <w:rPr>
          <w:rFonts w:ascii="Times New Roman" w:hAnsi="Times New Roman"/>
          <w:sz w:val="24"/>
          <w:szCs w:val="24"/>
        </w:rPr>
        <w:t xml:space="preserve"> grande importância para todos.</w:t>
      </w:r>
    </w:p>
    <w:p w:rsidR="00D555E9" w:rsidRDefault="00D555E9">
      <w:pPr>
        <w:spacing w:line="240" w:lineRule="auto"/>
        <w:jc w:val="both"/>
        <w:rPr>
          <w:color w:val="222222"/>
        </w:rPr>
      </w:pPr>
    </w:p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“Como noutros casos, a resposta só pode ser dada se pudermos responder a uma questão prévia, isto é, elas só poderão ser consideradas bens incompressíveis segundo uma organização justa da sociedade se corresponderem a neces</w:t>
      </w:r>
      <w:r>
        <w:rPr>
          <w:rFonts w:ascii="Times New Roman" w:hAnsi="Times New Roman"/>
          <w:color w:val="222222"/>
          <w:sz w:val="24"/>
          <w:szCs w:val="24"/>
        </w:rPr>
        <w:t>sidades profundas do ser humano, a necessidades que não podem deixar de ser satisfeitas sob pena de desorganização pessoal, ou pelo menos de frustração mutiladora. A nossa questão básica, portanto, é saber se a literatura é uma necessidade deste tipo. Só e</w:t>
      </w:r>
      <w:r>
        <w:rPr>
          <w:rFonts w:ascii="Times New Roman" w:hAnsi="Times New Roman"/>
          <w:color w:val="222222"/>
          <w:sz w:val="24"/>
          <w:szCs w:val="24"/>
        </w:rPr>
        <w:t>ntão estaremos em condições de concluir a respeito.”</w:t>
      </w:r>
    </w:p>
    <w:p w:rsidR="00D555E9" w:rsidRDefault="000954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autor propõe um questionamento para tornar o tema menos confuso e descomplicado, contribuindo com a definição do que são os direitos humanos.</w:t>
      </w:r>
    </w:p>
    <w:p w:rsidR="00D555E9" w:rsidRDefault="00D55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“Chamarei de literatura, da maneira mais ampla possível, t</w:t>
      </w:r>
      <w:r>
        <w:rPr>
          <w:rFonts w:ascii="Times New Roman" w:hAnsi="Times New Roman"/>
          <w:color w:val="222222"/>
          <w:sz w:val="24"/>
          <w:szCs w:val="24"/>
        </w:rPr>
        <w:t>odas as criações de toque poético, ficcional ou dramático em todos os níveis de uma sociedade, em todos os tipos de cultura, desde o que chamamos de folclore, lenda, chiste, até as formas mais complexas e difíceis da produção escrita das grandes civilizaçõ</w:t>
      </w:r>
      <w:r>
        <w:rPr>
          <w:rFonts w:ascii="Times New Roman" w:hAnsi="Times New Roman"/>
          <w:color w:val="222222"/>
          <w:sz w:val="24"/>
          <w:szCs w:val="24"/>
        </w:rPr>
        <w:t>es.”</w:t>
      </w:r>
    </w:p>
    <w:p w:rsidR="00D555E9" w:rsidRDefault="000954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 outro trecho que escolhi para comentar, </w:t>
      </w:r>
      <w:proofErr w:type="spellStart"/>
      <w:r>
        <w:rPr>
          <w:rFonts w:ascii="Times New Roman" w:hAnsi="Times New Roman"/>
          <w:sz w:val="24"/>
          <w:szCs w:val="24"/>
        </w:rPr>
        <w:t>Antonio</w:t>
      </w:r>
      <w:proofErr w:type="spellEnd"/>
      <w:r>
        <w:rPr>
          <w:rFonts w:ascii="Times New Roman" w:hAnsi="Times New Roman"/>
          <w:sz w:val="24"/>
          <w:szCs w:val="24"/>
        </w:rPr>
        <w:t xml:space="preserve"> Candido define literatura, depois de nos deixar claro o que são os direitos humanos, assim podemos seguir adiante com a leitura do texto, e, por ser tão organizado aprendemos sobre o assunto e vemo</w:t>
      </w:r>
      <w:r>
        <w:rPr>
          <w:rFonts w:ascii="Times New Roman" w:hAnsi="Times New Roman"/>
          <w:sz w:val="24"/>
          <w:szCs w:val="24"/>
        </w:rPr>
        <w:t>s que o autor tem completa afinidade com o tema.</w:t>
      </w:r>
    </w:p>
    <w:p w:rsidR="00D555E9" w:rsidRDefault="00D55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“Deste modo, ela é ator indispensável de humanização e, sendo assim, confirma o homem na sua humanidade, inclusive porque atua em grande parte no subconsciente e no inconsciente. Neste sentido, ela pode ter</w:t>
      </w:r>
      <w:r>
        <w:rPr>
          <w:rFonts w:ascii="Times New Roman" w:hAnsi="Times New Roman"/>
          <w:color w:val="222222"/>
          <w:sz w:val="24"/>
          <w:szCs w:val="24"/>
        </w:rPr>
        <w:t xml:space="preserve"> importância equivalente à das formas conscientes de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inculcamento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intencional, como a educação familiar, grupal ou escolar.”</w:t>
      </w:r>
    </w:p>
    <w:p w:rsidR="00D555E9" w:rsidRDefault="00D55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E9" w:rsidRDefault="000954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autor parece filosofar, e neste trecho citado acima, ele confirma a importância da literatura e o porquê de ser considerado um d</w:t>
      </w:r>
      <w:r>
        <w:rPr>
          <w:rFonts w:ascii="Times New Roman" w:hAnsi="Times New Roman"/>
          <w:sz w:val="24"/>
          <w:szCs w:val="24"/>
        </w:rPr>
        <w:t>ireito da humanidade.</w:t>
      </w:r>
    </w:p>
    <w:p w:rsidR="00D555E9" w:rsidRDefault="00D55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“Falemos, portanto, alguma coisa a respeito das produções literárias nas quais o autor deseja expressamente assumir posição em face dos problemas. Disso resulta uma literatura empenhada, que parte de posições éticas, políticas, relig</w:t>
      </w:r>
      <w:r>
        <w:rPr>
          <w:rFonts w:ascii="Times New Roman" w:hAnsi="Times New Roman"/>
          <w:color w:val="222222"/>
          <w:sz w:val="24"/>
          <w:szCs w:val="24"/>
        </w:rPr>
        <w:t xml:space="preserve">iosas ou simplesmente humanísticas. São casos em que o autor tem convicções e deseja exprimi-las; ou parte de certa visão da realidade e a manifesta com tonalidade crítica. Daí pode surgir um perigo: afirmar que a literatura só alcança a verdadeira função </w:t>
      </w:r>
      <w:r>
        <w:rPr>
          <w:rFonts w:ascii="Times New Roman" w:hAnsi="Times New Roman"/>
          <w:color w:val="222222"/>
          <w:sz w:val="24"/>
          <w:szCs w:val="24"/>
        </w:rPr>
        <w:t>quando é deste tipo. Para a Igreja Católica, durante muito tempo, a “boa literatura” era a que mostrava a verdade da sua doutrina, premiando a virtude, castigando o pecado.”</w:t>
      </w:r>
    </w:p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Há muitas vezes uma problematização na literatura a respeito de outros direitos hu</w:t>
      </w:r>
      <w:r>
        <w:rPr>
          <w:rFonts w:ascii="Times New Roman" w:hAnsi="Times New Roman"/>
          <w:sz w:val="24"/>
          <w:szCs w:val="24"/>
        </w:rPr>
        <w:t xml:space="preserve">manos, segundo o </w:t>
      </w:r>
      <w:proofErr w:type="spellStart"/>
      <w:r>
        <w:rPr>
          <w:rFonts w:ascii="Times New Roman" w:hAnsi="Times New Roman"/>
          <w:sz w:val="24"/>
          <w:szCs w:val="24"/>
        </w:rPr>
        <w:t>auor</w:t>
      </w:r>
      <w:proofErr w:type="spellEnd"/>
      <w:r>
        <w:rPr>
          <w:rFonts w:ascii="Times New Roman" w:hAnsi="Times New Roman"/>
          <w:sz w:val="24"/>
          <w:szCs w:val="24"/>
        </w:rPr>
        <w:t>. Porém, houve também um monopólio por parte da Igreja Católica, e o autor preocupa-se com uma possível doutrinação se apenas um “tipo de literatura” se sobressair após a garantia do seu direito a todos. Como se pudesse acontecer, como</w:t>
      </w:r>
      <w:r>
        <w:rPr>
          <w:rFonts w:ascii="Times New Roman" w:hAnsi="Times New Roman"/>
          <w:sz w:val="24"/>
          <w:szCs w:val="24"/>
        </w:rPr>
        <w:t xml:space="preserve"> se para se ter tal direito </w:t>
      </w:r>
      <w:proofErr w:type="spellStart"/>
      <w:r>
        <w:rPr>
          <w:rFonts w:ascii="Times New Roman" w:hAnsi="Times New Roman"/>
          <w:sz w:val="24"/>
          <w:szCs w:val="24"/>
        </w:rPr>
        <w:t>devessemos</w:t>
      </w:r>
      <w:proofErr w:type="spellEnd"/>
      <w:r>
        <w:rPr>
          <w:rFonts w:ascii="Times New Roman" w:hAnsi="Times New Roman"/>
          <w:sz w:val="24"/>
          <w:szCs w:val="24"/>
        </w:rPr>
        <w:t xml:space="preserve"> abrir mão de alguns outros.</w:t>
      </w:r>
    </w:p>
    <w:p w:rsidR="00D555E9" w:rsidRDefault="00D55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 xml:space="preserve">“A respeito, o Brasil se distingue pela alta taxa de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iniqüidade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, pois como é sabido temos de um lado os mais altos níveis de instrução e de cultura erudita, e de outro a massa numericament</w:t>
      </w:r>
      <w:r>
        <w:rPr>
          <w:rFonts w:ascii="Times New Roman" w:hAnsi="Times New Roman"/>
          <w:color w:val="222222"/>
          <w:sz w:val="24"/>
          <w:szCs w:val="24"/>
        </w:rPr>
        <w:t>e predominante de espoliados, sem acesso aos bens desta, e aliás aos próprios bens materiais necessários à sobrevivência.”</w:t>
      </w:r>
    </w:p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 xml:space="preserve">A citação acima já denota a opinião do autor, apesar do problema se visível par qualquer um, ele nos permite saber qual seu lugar de </w:t>
      </w:r>
      <w:r>
        <w:rPr>
          <w:rFonts w:ascii="Times New Roman" w:hAnsi="Times New Roman"/>
          <w:color w:val="222222"/>
          <w:sz w:val="24"/>
          <w:szCs w:val="24"/>
        </w:rPr>
        <w:t xml:space="preserve">fala e de forma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sucita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expõe uma pequena “crítica”, baseando-se na desigualdade de bens no Brasil como um todo. </w:t>
      </w:r>
    </w:p>
    <w:p w:rsidR="00D555E9" w:rsidRDefault="00D55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iCs/>
          <w:color w:val="222222"/>
          <w:sz w:val="24"/>
          <w:szCs w:val="24"/>
        </w:rPr>
        <w:t>“Portanto, a luta pelos direitos humanos abrange a luta por um estado de coisas em que todos possam ter acesso aos diferentes níveis de cultur</w:t>
      </w:r>
      <w:r>
        <w:rPr>
          <w:rFonts w:ascii="Times New Roman" w:hAnsi="Times New Roman"/>
          <w:iCs/>
          <w:color w:val="222222"/>
          <w:sz w:val="24"/>
          <w:szCs w:val="24"/>
        </w:rPr>
        <w:t xml:space="preserve">a. A distinção entre cultura popular e cultura erudita não deve servir para justificar e manter uma separação iníqua, como </w:t>
      </w:r>
      <w:proofErr w:type="spellStart"/>
      <w:r>
        <w:rPr>
          <w:rFonts w:ascii="Times New Roman" w:hAnsi="Times New Roman"/>
          <w:iCs/>
          <w:color w:val="222222"/>
          <w:sz w:val="24"/>
          <w:szCs w:val="24"/>
        </w:rPr>
        <w:t>se</w:t>
      </w:r>
      <w:proofErr w:type="spellEnd"/>
      <w:r>
        <w:rPr>
          <w:rFonts w:ascii="Times New Roman" w:hAnsi="Times New Roman"/>
          <w:iCs/>
          <w:color w:val="222222"/>
          <w:sz w:val="24"/>
          <w:szCs w:val="24"/>
        </w:rPr>
        <w:t xml:space="preserve"> do ponto de vista cultural a sociedade fosse dividida em esferas incomunicáveis, dando lugar a dois tipos incomunicáveis de fruido</w:t>
      </w:r>
      <w:r>
        <w:rPr>
          <w:rFonts w:ascii="Times New Roman" w:hAnsi="Times New Roman"/>
          <w:iCs/>
          <w:color w:val="222222"/>
          <w:sz w:val="24"/>
          <w:szCs w:val="24"/>
        </w:rPr>
        <w:t>res. Uma sociedade justa pressupõe o respeito dos direitos humanos, e a fruição da arte e da literatura em todas as modalidades e em todos os níveis é um direito inalienável.”</w:t>
      </w:r>
    </w:p>
    <w:p w:rsidR="00D555E9" w:rsidRDefault="00095439">
      <w:pPr>
        <w:spacing w:line="240" w:lineRule="auto"/>
        <w:jc w:val="both"/>
      </w:pPr>
      <w:r>
        <w:rPr>
          <w:rFonts w:ascii="Times New Roman" w:hAnsi="Times New Roman"/>
          <w:iCs/>
          <w:sz w:val="24"/>
          <w:szCs w:val="24"/>
        </w:rPr>
        <w:t>Por fim, a última citação que escolhi para comentar, nos traz uma opinião que é</w:t>
      </w:r>
      <w:r>
        <w:rPr>
          <w:rFonts w:ascii="Times New Roman" w:hAnsi="Times New Roman"/>
          <w:iCs/>
          <w:sz w:val="24"/>
          <w:szCs w:val="24"/>
        </w:rPr>
        <w:t xml:space="preserve"> de cunho geral na comunidade acadêmica: educação e ensino de qualidade a todos, literatura e </w:t>
      </w:r>
      <w:proofErr w:type="spellStart"/>
      <w:r>
        <w:rPr>
          <w:rFonts w:ascii="Times New Roman" w:hAnsi="Times New Roman"/>
          <w:iCs/>
          <w:sz w:val="24"/>
          <w:szCs w:val="24"/>
        </w:rPr>
        <w:t>prolematização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da mesma como forma de busca por uma cultura diferenciada e compreendida por todos.</w:t>
      </w:r>
    </w:p>
    <w:p w:rsidR="00D555E9" w:rsidRDefault="00D555E9">
      <w:pPr>
        <w:rPr>
          <w:iCs/>
        </w:rPr>
      </w:pPr>
    </w:p>
    <w:p w:rsidR="004D4693" w:rsidRDefault="004D4693" w:rsidP="004D4693">
      <w:r>
        <w:rPr>
          <w:b/>
        </w:rPr>
        <w:t>FICHAMENTO</w:t>
      </w:r>
      <w:r w:rsidR="001408E7">
        <w:rPr>
          <w:b/>
        </w:rPr>
        <w:t xml:space="preserve"> 2</w:t>
      </w:r>
    </w:p>
    <w:p w:rsidR="004D4693" w:rsidRDefault="004D4693" w:rsidP="004D4693">
      <w:pPr>
        <w:jc w:val="both"/>
      </w:pPr>
      <w:r>
        <w:rPr>
          <w:rFonts w:ascii="Times New Roman" w:hAnsi="Times New Roman" w:cs="Arial"/>
          <w:sz w:val="24"/>
          <w:szCs w:val="24"/>
        </w:rPr>
        <w:t>Ler na escola: os “livros de leitura</w:t>
      </w:r>
      <w:proofErr w:type="gramStart"/>
      <w:r>
        <w:rPr>
          <w:rFonts w:ascii="Times New Roman" w:hAnsi="Times New Roman" w:cs="Arial"/>
          <w:sz w:val="24"/>
          <w:szCs w:val="24"/>
        </w:rPr>
        <w:t>”,  in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: Andar entre livros- A leitura literária na escola. Tradução Laura </w:t>
      </w:r>
      <w:proofErr w:type="spellStart"/>
      <w:r>
        <w:rPr>
          <w:rFonts w:ascii="Times New Roman" w:hAnsi="Times New Roman" w:cs="Arial"/>
          <w:sz w:val="24"/>
          <w:szCs w:val="24"/>
        </w:rPr>
        <w:t>Sandroni</w:t>
      </w:r>
      <w:proofErr w:type="spellEnd"/>
      <w:r>
        <w:rPr>
          <w:rFonts w:ascii="Times New Roman" w:hAnsi="Times New Roman" w:cs="Arial"/>
          <w:sz w:val="24"/>
          <w:szCs w:val="24"/>
        </w:rPr>
        <w:t>.  S. Paulo Global, 2007, p. 15-48.</w:t>
      </w:r>
    </w:p>
    <w:p w:rsidR="004D4693" w:rsidRDefault="004D4693" w:rsidP="004D4693">
      <w:pPr>
        <w:pStyle w:val="PargrafodaLista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Anderson Garcia</w:t>
      </w:r>
    </w:p>
    <w:p w:rsidR="004D4693" w:rsidRDefault="004D4693" w:rsidP="004D4693">
      <w:pPr>
        <w:jc w:val="both"/>
        <w:rPr>
          <w:rFonts w:ascii="Times New Roman" w:hAnsi="Times New Roman"/>
          <w:sz w:val="24"/>
          <w:szCs w:val="24"/>
        </w:rPr>
      </w:pP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lastRenderedPageBreak/>
        <w:t>“Durante séculos a literatura exerceu um papel preponderante [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…][...]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não significa, no entanto, que os alunos tenham se dedicado a ler obras literárias[...].”(p.15)</w:t>
      </w:r>
    </w:p>
    <w:p w:rsidR="004D4693" w:rsidRDefault="004D4693" w:rsidP="004D4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primeiro trecho do texto trata de uma não obrigatoriedade e ao mesmo tempo a falta de interesse pela literatura – mesmo que </w:t>
      </w:r>
      <w:proofErr w:type="gramStart"/>
      <w:r>
        <w:rPr>
          <w:rFonts w:ascii="Times New Roman" w:hAnsi="Times New Roman"/>
          <w:sz w:val="24"/>
          <w:szCs w:val="24"/>
        </w:rPr>
        <w:t>esta</w:t>
      </w:r>
      <w:proofErr w:type="gramEnd"/>
      <w:r>
        <w:rPr>
          <w:rFonts w:ascii="Times New Roman" w:hAnsi="Times New Roman"/>
          <w:sz w:val="24"/>
          <w:szCs w:val="24"/>
        </w:rPr>
        <w:t xml:space="preserve"> obrigatória no currículo escolar – e assim, infelizmente até os dias de hoje.</w:t>
      </w:r>
    </w:p>
    <w:p w:rsidR="004D4693" w:rsidRDefault="004D4693" w:rsidP="004D4693">
      <w:pPr>
        <w:spacing w:line="240" w:lineRule="auto"/>
        <w:jc w:val="both"/>
        <w:rPr>
          <w:color w:val="222222"/>
        </w:rPr>
      </w:pP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“No melhor dos casos tratava-se de bel páginas para moldar o gosto e imitar nos exercícios de redação[...]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.”(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>p.17)</w:t>
      </w: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Ou seja, a autora nos coloca a par do que foi considerada a literatura nas escolas, senão mero fragmento utilizado para exercícios propostos, muitas vezes de respostas prontas e impostas, sem a predominância de uma leitura prévia para que houvesse a problematização além da visão do autor do livro didático.</w:t>
      </w:r>
    </w:p>
    <w:p w:rsidR="004D4693" w:rsidRDefault="004D4693" w:rsidP="004D4693">
      <w:pPr>
        <w:spacing w:line="240" w:lineRule="auto"/>
        <w:jc w:val="both"/>
        <w:rPr>
          <w:color w:val="222222"/>
        </w:rPr>
      </w:pP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“De modo que, apenas quando o modelo que havia permanecido essencialmente estável desde o século XIX até o pós-guerra europeu nas décadas de 1950 e 1960, a leitura de obras completas e o uso da biblioteca tiveram lugar na escola de forma generalizada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.”(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>p.19)</w:t>
      </w: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Neste trecho vemos que a mudança, apesar de tardia teve seu </w:t>
      </w:r>
      <w:r>
        <w:rPr>
          <w:rFonts w:ascii="Times New Roman" w:hAnsi="Times New Roman"/>
          <w:i/>
          <w:iCs/>
          <w:sz w:val="24"/>
          <w:szCs w:val="24"/>
        </w:rPr>
        <w:t>início</w:t>
      </w:r>
      <w:r>
        <w:rPr>
          <w:rFonts w:ascii="Times New Roman" w:hAnsi="Times New Roman"/>
          <w:sz w:val="24"/>
          <w:szCs w:val="24"/>
        </w:rPr>
        <w:t xml:space="preserve"> – não obrigatoriamente prático – em meados do séc. XX, propondo o acesso total a literatura em sala de aula e na biblioteca.</w:t>
      </w:r>
    </w:p>
    <w:p w:rsidR="004D4693" w:rsidRDefault="004D4693" w:rsidP="004D4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“A potência deste novo discurso social pressionou a escola até o ponto de penetrar em suas concepções e modificar muitas das práticas de leitura que nela se desenvolviam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.”(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>p.23)</w:t>
      </w: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Entendemos que o pensamento de algumas camadas escolares e da educação até aceitaram o novo tipo de </w:t>
      </w:r>
      <w:r>
        <w:rPr>
          <w:rFonts w:ascii="Times New Roman" w:hAnsi="Times New Roman"/>
          <w:i/>
          <w:iCs/>
          <w:sz w:val="24"/>
          <w:szCs w:val="24"/>
        </w:rPr>
        <w:t>aplicabilidade</w:t>
      </w:r>
      <w:r>
        <w:rPr>
          <w:rFonts w:ascii="Times New Roman" w:hAnsi="Times New Roman"/>
          <w:sz w:val="24"/>
          <w:szCs w:val="24"/>
        </w:rPr>
        <w:t xml:space="preserve"> da literatura – porém, o texto nos mostra ainda seguir, que parece ser infelizmente distante o horizonte da formação de grandes leitores desde as séries iniciais.</w:t>
      </w:r>
    </w:p>
    <w:p w:rsidR="004D4693" w:rsidRDefault="004D4693" w:rsidP="004D4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“Como consequência, transformou-se tanto a visão do que a escola se propunha a ensinar nesta área como a visão sobre qual era a melhor forma de fazê-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lo.”(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>p.24)</w:t>
      </w:r>
    </w:p>
    <w:p w:rsidR="004D4693" w:rsidRDefault="004D4693" w:rsidP="004D4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 citação a cima, vemos que houve sim uma mudança de pensamento em relação ao ensino da literatura, mas talvez ainda não fora possível um consenso do modelo ideal, porque a escola simplesmente espelhe o que foi ensinado nos tempos de antigamente – haveria certa </w:t>
      </w:r>
      <w:r>
        <w:rPr>
          <w:rFonts w:ascii="Times New Roman" w:hAnsi="Times New Roman"/>
          <w:i/>
          <w:iCs/>
          <w:sz w:val="24"/>
          <w:szCs w:val="24"/>
        </w:rPr>
        <w:t>preguiça</w:t>
      </w:r>
      <w:r>
        <w:rPr>
          <w:rFonts w:ascii="Times New Roman" w:hAnsi="Times New Roman"/>
          <w:sz w:val="24"/>
          <w:szCs w:val="24"/>
        </w:rPr>
        <w:t>.</w:t>
      </w:r>
    </w:p>
    <w:p w:rsidR="004D4693" w:rsidRDefault="004D4693" w:rsidP="004D4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“No quadro cognitivista destas investigações, desenvolveu-se também a pesquisa sobre a leitura, sobre os mecanismos e processos através dos quais o leitor constrói o significado do texto escrito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.”(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>p.27)</w:t>
      </w:r>
    </w:p>
    <w:p w:rsidR="004D4693" w:rsidRPr="00D845A6" w:rsidRDefault="004D4693" w:rsidP="004D469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 autora fala de </w:t>
      </w:r>
      <w:proofErr w:type="spellStart"/>
      <w:r>
        <w:rPr>
          <w:rFonts w:ascii="Times New Roman" w:hAnsi="Times New Roman"/>
          <w:sz w:val="24"/>
          <w:szCs w:val="24"/>
        </w:rPr>
        <w:t>Vigotsky</w:t>
      </w:r>
      <w:proofErr w:type="spellEnd"/>
      <w:r>
        <w:rPr>
          <w:rFonts w:ascii="Times New Roman" w:hAnsi="Times New Roman"/>
          <w:sz w:val="24"/>
          <w:szCs w:val="24"/>
        </w:rPr>
        <w:t xml:space="preserve"> e outros grandes escritores, filósofos e professores, neste trecho, cita o modelo cognitivista que é a favor da procura por um sentido no texto literário, como exemplo prático do que pode dar certo como forma de ensino, dando novas possibilidades ao pensamento crítico e ideológico do aluno</w:t>
      </w: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lastRenderedPageBreak/>
        <w:t>“O aprendizado, então, se concebe centrado na leitura das obras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.”(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>p.29)</w:t>
      </w: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 xml:space="preserve">A citação acima, simplesmente corresponde a tudo que já compreendido, mesmo assim, fica claro que a literatura não deve ser parte do currículo, mas por onde devemos iniciar nossa compreensão das obas e o do mundo a nossa volta. </w:t>
      </w:r>
    </w:p>
    <w:p w:rsidR="004D4693" w:rsidRDefault="004D4693" w:rsidP="004D4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693" w:rsidRDefault="004D4693" w:rsidP="004D4693">
      <w:pPr>
        <w:spacing w:line="240" w:lineRule="auto"/>
        <w:jc w:val="both"/>
      </w:pPr>
      <w:r>
        <w:rPr>
          <w:rFonts w:ascii="Times New Roman" w:hAnsi="Times New Roman"/>
          <w:iCs/>
          <w:color w:val="222222"/>
          <w:sz w:val="24"/>
          <w:szCs w:val="24"/>
        </w:rPr>
        <w:t xml:space="preserve">“A escritora argentina Graciela Montes utiliza o conceito de” estrutura do sentimento”, de Raymond Williams, para caracterizar a falta de sentido da leitura no imaginário coletivo atual e assinalar que a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significatividade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o que nos faz falta na leitura e não uma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massividade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que nunca existiu de fato</w:t>
      </w:r>
      <w:proofErr w:type="gramStart"/>
      <w:r>
        <w:rPr>
          <w:rFonts w:ascii="Times New Roman" w:hAnsi="Times New Roman"/>
          <w:iCs/>
          <w:color w:val="222222"/>
          <w:sz w:val="24"/>
          <w:szCs w:val="24"/>
        </w:rPr>
        <w:t>.”(</w:t>
      </w:r>
      <w:proofErr w:type="gramEnd"/>
      <w:r>
        <w:rPr>
          <w:rFonts w:ascii="Times New Roman" w:hAnsi="Times New Roman"/>
          <w:iCs/>
          <w:color w:val="222222"/>
          <w:sz w:val="24"/>
          <w:szCs w:val="24"/>
        </w:rPr>
        <w:t>p.47)</w:t>
      </w:r>
    </w:p>
    <w:p w:rsidR="004D4693" w:rsidRDefault="004D4693" w:rsidP="004D4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fim, transcrevi em parte – em uma citação um parágrafo localizado na página 47 – que, dentre muitos </w:t>
      </w:r>
      <w:proofErr w:type="spellStart"/>
      <w:r>
        <w:rPr>
          <w:rFonts w:ascii="Times New Roman" w:hAnsi="Times New Roman"/>
          <w:sz w:val="24"/>
          <w:szCs w:val="24"/>
        </w:rPr>
        <w:t>explia</w:t>
      </w:r>
      <w:proofErr w:type="spellEnd"/>
      <w:r>
        <w:rPr>
          <w:rFonts w:ascii="Times New Roman" w:hAnsi="Times New Roman"/>
          <w:sz w:val="24"/>
          <w:szCs w:val="24"/>
        </w:rPr>
        <w:t xml:space="preserve"> e nos faz buscar sentido e construirmos nossas próprias ideias e pensamentos, como deveria de ser, desde sempre.</w:t>
      </w:r>
    </w:p>
    <w:p w:rsidR="004D4693" w:rsidRDefault="004D4693" w:rsidP="004D4693">
      <w:pPr>
        <w:rPr>
          <w:iCs/>
        </w:rPr>
      </w:pPr>
      <w:bookmarkStart w:id="0" w:name="_GoBack"/>
      <w:bookmarkEnd w:id="0"/>
    </w:p>
    <w:p w:rsidR="004D4693" w:rsidRDefault="004D4693" w:rsidP="004D4693">
      <w:pPr>
        <w:rPr>
          <w:iCs/>
        </w:rPr>
      </w:pPr>
    </w:p>
    <w:p w:rsidR="004D4693" w:rsidRDefault="004D4693" w:rsidP="004D4693">
      <w:pPr>
        <w:rPr>
          <w:iCs/>
        </w:rPr>
      </w:pPr>
    </w:p>
    <w:p w:rsidR="004D4693" w:rsidRDefault="004D4693" w:rsidP="004D4693">
      <w:pPr>
        <w:jc w:val="both"/>
        <w:rPr>
          <w:iCs/>
        </w:rPr>
      </w:pPr>
    </w:p>
    <w:p w:rsidR="004D4693" w:rsidRDefault="004D4693" w:rsidP="004D4693">
      <w:pPr>
        <w:jc w:val="both"/>
        <w:rPr>
          <w:iCs/>
        </w:rPr>
      </w:pPr>
    </w:p>
    <w:p w:rsidR="004D4693" w:rsidRDefault="004D4693" w:rsidP="004D4693">
      <w:pPr>
        <w:jc w:val="both"/>
      </w:pPr>
    </w:p>
    <w:p w:rsidR="0063616F" w:rsidRDefault="0063616F">
      <w:pPr>
        <w:rPr>
          <w:iCs/>
        </w:rPr>
      </w:pPr>
    </w:p>
    <w:p w:rsidR="0063616F" w:rsidRDefault="0063616F">
      <w:pPr>
        <w:rPr>
          <w:iCs/>
        </w:rPr>
      </w:pPr>
    </w:p>
    <w:p w:rsidR="0063616F" w:rsidRDefault="0063616F">
      <w:pPr>
        <w:rPr>
          <w:iCs/>
        </w:rPr>
      </w:pPr>
    </w:p>
    <w:sectPr w:rsidR="0063616F">
      <w:pgSz w:w="11906" w:h="16838"/>
      <w:pgMar w:top="1417" w:right="1274" w:bottom="141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E9"/>
    <w:rsid w:val="00095439"/>
    <w:rsid w:val="001408E7"/>
    <w:rsid w:val="004D4693"/>
    <w:rsid w:val="0063616F"/>
    <w:rsid w:val="00D555E9"/>
    <w:rsid w:val="00D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97F"/>
  <w15:docId w15:val="{83616A7E-E96B-4423-BA13-B9D7396D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D67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75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75AD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notaderodap">
    <w:name w:val="footnote text"/>
    <w:basedOn w:val="Normal"/>
    <w:link w:val="TextodenotaderodapChar"/>
    <w:unhideWhenUsed/>
    <w:rsid w:val="00CF75AD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A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FA05-05EB-495B-9704-79AFED92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 maria marins</cp:lastModifiedBy>
  <cp:revision>2</cp:revision>
  <dcterms:created xsi:type="dcterms:W3CDTF">2019-01-19T17:23:00Z</dcterms:created>
  <dcterms:modified xsi:type="dcterms:W3CDTF">2019-01-19T17:23:00Z</dcterms:modified>
  <dc:language>pt-BR</dc:language>
</cp:coreProperties>
</file>