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688" w:rsidRDefault="00CF708F" w:rsidP="00CF708F">
      <w:pPr>
        <w:rPr>
          <w:lang w:val="pt-BR"/>
        </w:rPr>
      </w:pPr>
      <w:r>
        <w:rPr>
          <w:rFonts w:ascii="Calibri" w:eastAsia="Calibri" w:hAnsi="Calibri" w:cs="Calibri" w:hint="eastAsia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133952" behindDoc="0" locked="0" layoutInCell="1" allowOverlap="1" wp14:anchorId="0728696B" wp14:editId="3460E279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5E3688" w:rsidRDefault="00CF708F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lang w:val="pt-BR"/>
        </w:rPr>
      </w:pPr>
      <w:r>
        <w:rPr>
          <w:rFonts w:ascii="Calibri" w:eastAsia="Calibri" w:hAnsi="Calibri" w:cs="Calibri" w:hint="eastAsia"/>
          <w:b/>
          <w:i/>
          <w:lang w:val="pt-BR" w:bidi="ar"/>
        </w:rPr>
        <w:t>Programas de Assist</w:t>
      </w:r>
      <w:r>
        <w:rPr>
          <w:rFonts w:ascii="Calibri" w:eastAsia="Calibri" w:hAnsi="Calibri" w:cs="Calibri" w:hint="eastAsia"/>
          <w:b/>
          <w:i/>
          <w:lang w:val="pt-BR" w:bidi="ar"/>
        </w:rPr>
        <w:t>ê</w:t>
      </w:r>
      <w:r>
        <w:rPr>
          <w:rFonts w:ascii="Calibri" w:eastAsia="Calibri" w:hAnsi="Calibri" w:cs="Calibri" w:hint="eastAsia"/>
          <w:b/>
          <w:i/>
          <w:lang w:val="pt-BR" w:bidi="ar"/>
        </w:rPr>
        <w:t xml:space="preserve">ncia </w:t>
      </w:r>
    </w:p>
    <w:p w:rsidR="005E3688" w:rsidRDefault="00CF708F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lang w:val="pt-BR"/>
        </w:rPr>
      </w:pPr>
      <w:r>
        <w:rPr>
          <w:rFonts w:ascii="Calibri" w:eastAsia="Calibri" w:hAnsi="Calibri" w:cs="Calibri" w:hint="eastAsia"/>
          <w:b/>
          <w:i/>
          <w:lang w:val="pt-BR" w:bidi="ar"/>
        </w:rPr>
        <w:t>Estudantil da Unipampa</w:t>
      </w:r>
    </w:p>
    <w:p w:rsidR="005E3688" w:rsidRDefault="005E3688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sz w:val="10"/>
          <w:szCs w:val="10"/>
          <w:lang w:val="pt-BR"/>
        </w:rPr>
      </w:pPr>
    </w:p>
    <w:p w:rsidR="005E3688" w:rsidRDefault="005E3688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sz w:val="10"/>
          <w:szCs w:val="10"/>
          <w:lang w:val="pt-BR"/>
        </w:rPr>
      </w:pPr>
    </w:p>
    <w:p w:rsidR="005E3688" w:rsidRDefault="00CF708F">
      <w:pPr>
        <w:pStyle w:val="NormalWeb"/>
        <w:spacing w:before="120" w:beforeAutospacing="0" w:after="120" w:afterAutospacing="0" w:line="15" w:lineRule="atLeast"/>
        <w:ind w:right="120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ANEXO V</w:t>
      </w:r>
    </w:p>
    <w:p w:rsidR="005E3688" w:rsidRDefault="00CF708F">
      <w:pPr>
        <w:pStyle w:val="NormalWeb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PROJETO DE APOIO SOCIAL E PEDAGÓGICO DA UNIPAMPA – PASP – 2022</w:t>
      </w:r>
    </w:p>
    <w:p w:rsidR="005E3688" w:rsidRDefault="00CF708F">
      <w:pPr>
        <w:pStyle w:val="NormalWeb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PLANO DE ATIVIDADES DO MONITOR</w:t>
      </w:r>
    </w:p>
    <w:p w:rsidR="005E3688" w:rsidRDefault="005E3688"/>
    <w:tbl>
      <w:tblPr>
        <w:tblW w:w="8873" w:type="dxa"/>
        <w:tblInd w:w="-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6850"/>
      </w:tblGrid>
      <w:tr w:rsidR="005E3688">
        <w:trPr>
          <w:trHeight w:val="500"/>
        </w:trPr>
        <w:tc>
          <w:tcPr>
            <w:tcW w:w="2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Nome do Discente:</w:t>
            </w:r>
          </w:p>
        </w:tc>
        <w:tc>
          <w:tcPr>
            <w:tcW w:w="6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5E3688">
        <w:trPr>
          <w:trHeight w:val="500"/>
        </w:trPr>
        <w:tc>
          <w:tcPr>
            <w:tcW w:w="2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Matrícula</w:t>
            </w:r>
          </w:p>
        </w:tc>
        <w:tc>
          <w:tcPr>
            <w:tcW w:w="6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5E3688">
        <w:trPr>
          <w:trHeight w:val="500"/>
        </w:trPr>
        <w:tc>
          <w:tcPr>
            <w:tcW w:w="2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Campus:</w:t>
            </w:r>
          </w:p>
        </w:tc>
        <w:tc>
          <w:tcPr>
            <w:tcW w:w="6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5E3688">
            <w:pPr>
              <w:textAlignment w:val="top"/>
            </w:pPr>
          </w:p>
        </w:tc>
      </w:tr>
      <w:tr w:rsidR="005E3688">
        <w:trPr>
          <w:trHeight w:val="500"/>
        </w:trPr>
        <w:tc>
          <w:tcPr>
            <w:tcW w:w="2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Carga horária:</w:t>
            </w:r>
          </w:p>
        </w:tc>
        <w:tc>
          <w:tcPr>
            <w:tcW w:w="6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100" w:type="dxa"/>
            </w:tcMar>
          </w:tcPr>
          <w:p w:rsidR="005E3688" w:rsidRDefault="00CF708F">
            <w:pPr>
              <w:pStyle w:val="NormalWeb"/>
              <w:spacing w:beforeAutospacing="0" w:afterAutospacing="0" w:line="15" w:lineRule="atLeast"/>
            </w:pPr>
            <w:r>
              <w:rPr>
                <w:rFonts w:ascii="Calibri" w:hAnsi="Calibri" w:cs="Calibri"/>
                <w:color w:val="000000"/>
                <w:sz w:val="24"/>
              </w:rPr>
              <w:t>  20 horas</w:t>
            </w:r>
          </w:p>
        </w:tc>
      </w:tr>
    </w:tbl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Elementos do Plano de </w:t>
      </w:r>
      <w:r>
        <w:rPr>
          <w:rFonts w:ascii="Calibri" w:hAnsi="Calibri" w:cs="Calibri"/>
          <w:b/>
          <w:color w:val="000000"/>
          <w:sz w:val="26"/>
          <w:szCs w:val="26"/>
        </w:rPr>
        <w:t>Atividades do Monitor do PASP:</w:t>
      </w:r>
    </w:p>
    <w:tbl>
      <w:tblPr>
        <w:tblW w:w="8896" w:type="dxa"/>
        <w:tblInd w:w="-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4706"/>
      </w:tblGrid>
      <w:tr w:rsidR="005E3688">
        <w:trPr>
          <w:trHeight w:val="5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Atividade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Descrição</w:t>
            </w:r>
          </w:p>
        </w:tc>
      </w:tr>
      <w:tr w:rsidR="005E3688">
        <w:trPr>
          <w:trHeight w:val="168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Realizar o levantamento dos discentes ingressantes pelas Ações Afirmativas beneficiários do PAPIQ e do Plano de Permanência e PBP/MEC  e ingressantes.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O levantamento será realizado por meio de dados </w:t>
            </w:r>
            <w:r>
              <w:rPr>
                <w:rFonts w:ascii="Calibri" w:hAnsi="Calibri" w:cs="Calibri"/>
                <w:color w:val="000000"/>
                <w:sz w:val="24"/>
              </w:rPr>
              <w:t>fornecidos pelo orientador do NuDE (lista de beneficiários).</w:t>
            </w:r>
          </w:p>
        </w:tc>
      </w:tr>
      <w:tr w:rsidR="005E3688">
        <w:trPr>
          <w:trHeight w:val="286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Realizar o levantamento do rendimento acadêmico dos discentes ingressantes, dos beneficiários do Plano de Permanência, do PAPIQ, PBP/MEC,  dos discentes encaminhados ao PASP e ingressantes pelas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Ações Afirmativas.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 levantamento será realizado através de dados fornecidos pelo orientador do NuDE (relatório específico gerado no sistema GURI).</w:t>
            </w:r>
          </w:p>
        </w:tc>
      </w:tr>
      <w:tr w:rsidR="005E3688">
        <w:trPr>
          <w:trHeight w:val="8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Identificar a situação acadêmica dos discentes atendidos.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Utilizar o relatório disponibilizado como instru</w:t>
            </w:r>
            <w:r>
              <w:rPr>
                <w:rFonts w:ascii="Calibri" w:hAnsi="Calibri" w:cs="Calibri"/>
                <w:color w:val="000000"/>
                <w:sz w:val="24"/>
              </w:rPr>
              <w:t>mento de identificação das dificuldades acadêmicas dos discentes atendidos pelo PASP.</w:t>
            </w:r>
          </w:p>
        </w:tc>
      </w:tr>
      <w:tr w:rsidR="005E3688">
        <w:trPr>
          <w:trHeight w:val="326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lastRenderedPageBreak/>
              <w:t>Realizar reuniões periódicas, visando o acompanhamento do rendimento acadêmico dos discentes encaminhados ao PASP. </w:t>
            </w:r>
          </w:p>
          <w:p w:rsidR="005E3688" w:rsidRDefault="005E3688">
            <w:pPr>
              <w:textAlignment w:val="center"/>
            </w:pP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O monitor do PASP deverá ter conhecimento sobre </w:t>
            </w:r>
            <w:r>
              <w:rPr>
                <w:rFonts w:ascii="Calibri" w:hAnsi="Calibri" w:cs="Calibri"/>
                <w:color w:val="000000"/>
                <w:sz w:val="24"/>
              </w:rPr>
              <w:t>quais disciplinas são cursadas por cada um dos discentes atendidos pelo Programa (esta informação poderá ser obtida através dos profissionais do NuDE ou das Secretarias Acadêmicas).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Ao longo do semestre, deverá realizar reuniões periódicas com os discentes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encaminhados ao PASP, com o objetivo de acompanhar a sua situação acadêmica, identificando necessidades de intervenção, que serão prontamente encaminhadas ao servidor interface do NuDE </w:t>
            </w:r>
          </w:p>
        </w:tc>
      </w:tr>
      <w:tr w:rsidR="005E3688">
        <w:trPr>
          <w:trHeight w:val="258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Oferecer orientações básicas sobre a rotina acadêmica e organização </w:t>
            </w:r>
            <w:r>
              <w:rPr>
                <w:rFonts w:ascii="Calibri" w:hAnsi="Calibri" w:cs="Calibri"/>
                <w:color w:val="000000"/>
                <w:sz w:val="24"/>
              </w:rPr>
              <w:t>das atividades acadêmicas.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 monitor deverá oferecer aos discentes orientações de: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leitura;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organização dos estudos;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fichamentos;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preenchimento de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Curriculum Vitae</w:t>
            </w:r>
            <w:r>
              <w:rPr>
                <w:rFonts w:ascii="Calibri" w:hAnsi="Calibri" w:cs="Calibri"/>
                <w:color w:val="000000"/>
                <w:sz w:val="24"/>
              </w:rPr>
              <w:t> na Plataforma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Lattes</w:t>
            </w:r>
            <w:r>
              <w:rPr>
                <w:rFonts w:ascii="Calibri" w:hAnsi="Calibri" w:cs="Calibri"/>
                <w:color w:val="000000"/>
                <w:sz w:val="24"/>
              </w:rPr>
              <w:t>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organização e participação em eventos;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pesquisas em periód</w:t>
            </w:r>
            <w:r>
              <w:rPr>
                <w:rFonts w:ascii="Calibri" w:hAnsi="Calibri" w:cs="Calibri"/>
                <w:color w:val="000000"/>
                <w:sz w:val="24"/>
              </w:rPr>
              <w:t>icos;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navegação em portais da Universidade;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normas e documentos institucionais;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acolhimento e ambientação dos novos discentes (informar sobre os espaços do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campus</w:t>
            </w:r>
            <w:r>
              <w:rPr>
                <w:rFonts w:ascii="Calibri" w:hAnsi="Calibri" w:cs="Calibri"/>
                <w:color w:val="000000"/>
                <w:sz w:val="24"/>
              </w:rPr>
              <w:t> e auxiliá-los no acesso aos sistemas institucionais);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orientações sobre calendário ac</w:t>
            </w:r>
            <w:r>
              <w:rPr>
                <w:rFonts w:ascii="Calibri" w:hAnsi="Calibri" w:cs="Calibri"/>
                <w:color w:val="000000"/>
                <w:sz w:val="24"/>
              </w:rPr>
              <w:t>adêmico e matrículas.</w:t>
            </w:r>
          </w:p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- divulgar e estimular a participação do discente em projetos de extensão e iniciação científica.</w:t>
            </w:r>
          </w:p>
        </w:tc>
      </w:tr>
      <w:tr w:rsidR="005E3688">
        <w:trPr>
          <w:trHeight w:val="140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Verificar, em seu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campus</w:t>
            </w:r>
            <w:r>
              <w:rPr>
                <w:rFonts w:ascii="Calibri" w:hAnsi="Calibri" w:cs="Calibri"/>
                <w:color w:val="000000"/>
                <w:sz w:val="24"/>
              </w:rPr>
              <w:t>, se há projetos ou programas que possam auxiliar os discentes em seu rendimento acadêmico.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Pesquisar, por meio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das coordenações de curso, a existência de projetos e programas (monitorias, por exemplo), que contemplem ações sobre o aproveitamento acadêmico, visando a inclusão de discentes que apresentem essa necessidade.</w:t>
            </w:r>
          </w:p>
        </w:tc>
      </w:tr>
      <w:tr w:rsidR="005E3688">
        <w:trPr>
          <w:trHeight w:val="228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lastRenderedPageBreak/>
              <w:t>Realizar levantamento dos componentes curri</w:t>
            </w:r>
            <w:r>
              <w:rPr>
                <w:rFonts w:ascii="Calibri" w:hAnsi="Calibri" w:cs="Calibri"/>
                <w:color w:val="000000"/>
                <w:sz w:val="24"/>
              </w:rPr>
              <w:t>culares de cada curso do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campus</w:t>
            </w:r>
            <w:r>
              <w:rPr>
                <w:rFonts w:ascii="Calibri" w:hAnsi="Calibri" w:cs="Calibri"/>
                <w:color w:val="000000"/>
                <w:sz w:val="24"/>
              </w:rPr>
              <w:t>, identificando os que são pré-requisitos e orientando-os sobre as consequências da reprovação nesses componentes. 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Orientar sobre a importância da aprovação nos componentes curriculares que são pré-requisitos, evitando a </w:t>
            </w:r>
            <w:r>
              <w:rPr>
                <w:rFonts w:ascii="Calibri" w:hAnsi="Calibri" w:cs="Calibri"/>
                <w:color w:val="000000"/>
                <w:sz w:val="24"/>
              </w:rPr>
              <w:t>retenção do discente no curso.</w:t>
            </w:r>
          </w:p>
        </w:tc>
      </w:tr>
      <w:tr w:rsidR="005E3688">
        <w:trPr>
          <w:trHeight w:val="11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Registrar e monitorar a frequência dos discentes encaminhados ao PASP.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Registrar a frequência dos discentes encaminhados ao PASP nas reuniões estabelecidas.</w:t>
            </w:r>
          </w:p>
        </w:tc>
      </w:tr>
      <w:tr w:rsidR="005E3688">
        <w:trPr>
          <w:trHeight w:val="168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Realizar o acompanhamento da frequência dos discentes, </w:t>
            </w:r>
            <w:r>
              <w:rPr>
                <w:rFonts w:ascii="Calibri" w:hAnsi="Calibri" w:cs="Calibri"/>
                <w:color w:val="000000"/>
                <w:sz w:val="24"/>
              </w:rPr>
              <w:t>orientando-os sobre a justificativa de frequência junto à Secretaria Acadêmica.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Realizar orientações e esclarecimentos sobre como e quando proceder com a justificativa de faltas, identificando os casos que são passíveis de justificativas, evitando as repro</w:t>
            </w:r>
            <w:r>
              <w:rPr>
                <w:rFonts w:ascii="Calibri" w:hAnsi="Calibri" w:cs="Calibri"/>
                <w:color w:val="000000"/>
                <w:sz w:val="24"/>
              </w:rPr>
              <w:t>vações por frequência.</w:t>
            </w:r>
          </w:p>
        </w:tc>
      </w:tr>
      <w:tr w:rsidR="005E3688">
        <w:trPr>
          <w:trHeight w:val="11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Em conjunto com o interface elaborar o cronograma de atividades do monitor.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Elaborar tabela com dias, horários e atividades a serem desenvolvidas pelo monitor.</w:t>
            </w:r>
          </w:p>
        </w:tc>
      </w:tr>
      <w:tr w:rsidR="005E3688">
        <w:trPr>
          <w:trHeight w:val="11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Apresentar o relatório das atividades desenvolvidas na monitoria.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Elaborar o relatório das atividades desenvolvidas como monitor.</w:t>
            </w:r>
          </w:p>
        </w:tc>
      </w:tr>
      <w:tr w:rsidR="005E3688">
        <w:trPr>
          <w:trHeight w:val="110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Orientar e socializar as ações e programas referentes à assistência estudantil.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 monitor deverá se manter informado sobre ações e programas de assistência estudantil, com o objetivo de divul</w:t>
            </w:r>
            <w:r>
              <w:rPr>
                <w:rFonts w:ascii="Calibri" w:hAnsi="Calibri" w:cs="Calibri"/>
                <w:color w:val="000000"/>
                <w:sz w:val="24"/>
              </w:rPr>
              <w:t>gá-los ao público discente.</w:t>
            </w:r>
          </w:p>
        </w:tc>
      </w:tr>
      <w:tr w:rsidR="005E3688">
        <w:trPr>
          <w:trHeight w:val="112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Orientar sobre os critérios de manutenção dos auxílios do Plano de Permanência (PP) e PAPIQ.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3688" w:rsidRDefault="00CF708F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both"/>
            </w:pPr>
            <w:r>
              <w:rPr>
                <w:rFonts w:ascii="Calibri" w:hAnsi="Calibri" w:cs="Calibri"/>
                <w:color w:val="000000"/>
                <w:sz w:val="24"/>
              </w:rPr>
              <w:t>O monitor deverá buscar orientações com o Assistente Social do </w:t>
            </w:r>
            <w:r>
              <w:rPr>
                <w:rFonts w:ascii="Calibri" w:hAnsi="Calibri" w:cs="Calibri"/>
                <w:i/>
                <w:color w:val="000000"/>
                <w:sz w:val="24"/>
              </w:rPr>
              <w:t>campus 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sobre os critérios de manutenção dos auxílios PP, com a </w:t>
            </w:r>
            <w:r>
              <w:rPr>
                <w:rFonts w:ascii="Calibri" w:hAnsi="Calibri" w:cs="Calibri"/>
                <w:color w:val="000000"/>
                <w:sz w:val="24"/>
              </w:rPr>
              <w:t>finalidade de manter o público discente devidamente informado.</w:t>
            </w:r>
          </w:p>
        </w:tc>
      </w:tr>
    </w:tbl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____________, _____ de ________ de 2022.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________________________________________________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Nome e Assinatura do Coordenador Local do</w:t>
      </w:r>
      <w:bookmarkStart w:id="0" w:name="_GoBack"/>
      <w:bookmarkEnd w:id="0"/>
      <w:r>
        <w:rPr>
          <w:rFonts w:ascii="Calibri" w:hAnsi="Calibri" w:cs="Calibri"/>
          <w:color w:val="000000"/>
          <w:sz w:val="26"/>
          <w:szCs w:val="26"/>
        </w:rPr>
        <w:t xml:space="preserve"> PASP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________________________________________________</w:t>
      </w:r>
    </w:p>
    <w:p w:rsidR="005E3688" w:rsidRDefault="00CF708F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Nome</w:t>
      </w:r>
      <w:r>
        <w:rPr>
          <w:rFonts w:ascii="Calibri" w:hAnsi="Calibri" w:cs="Calibri"/>
          <w:color w:val="000000"/>
          <w:sz w:val="26"/>
          <w:szCs w:val="26"/>
        </w:rPr>
        <w:t xml:space="preserve"> e Assinatura do Monitor PASP </w:t>
      </w:r>
    </w:p>
    <w:p w:rsidR="005E3688" w:rsidRDefault="005E3688">
      <w:pPr>
        <w:pStyle w:val="NormalWeb"/>
        <w:spacing w:before="120" w:beforeAutospacing="0" w:after="120" w:afterAutospacing="0" w:line="15" w:lineRule="atLeast"/>
        <w:ind w:left="120" w:right="120"/>
        <w:jc w:val="center"/>
      </w:pPr>
    </w:p>
    <w:sectPr w:rsidR="005E36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731D"/>
    <w:rsid w:val="005E3688"/>
    <w:rsid w:val="00CF708F"/>
    <w:rsid w:val="5C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N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TIANE ALVES BITENCOURT</cp:lastModifiedBy>
  <cp:revision>2</cp:revision>
  <dcterms:created xsi:type="dcterms:W3CDTF">2022-03-30T12:22:00Z</dcterms:created>
  <dcterms:modified xsi:type="dcterms:W3CDTF">2022-04-14T12:37:00Z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