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8C" w:rsidRPr="00014C8C" w:rsidRDefault="00014C8C" w:rsidP="00014C8C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4C8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ANEXO V</w:t>
      </w:r>
    </w:p>
    <w:p w:rsidR="00014C8C" w:rsidRPr="00014C8C" w:rsidRDefault="00014C8C" w:rsidP="00014C8C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4C8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PROJETO DE APOIO SOCIAL E PEDAGÓGICO DA UNIPAMPA – PASP</w:t>
      </w:r>
    </w:p>
    <w:p w:rsidR="00014C8C" w:rsidRPr="00014C8C" w:rsidRDefault="00014C8C" w:rsidP="00014C8C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4C8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PLANO DE ATIVIDADES DO MONITOR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6269"/>
      </w:tblGrid>
      <w:tr w:rsidR="00014C8C" w:rsidRPr="00014C8C" w:rsidTr="00014C8C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Nome do Discente:</w:t>
            </w:r>
          </w:p>
        </w:tc>
        <w:tc>
          <w:tcPr>
            <w:tcW w:w="62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14C8C" w:rsidRPr="00014C8C" w:rsidTr="00014C8C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Matrícula:</w:t>
            </w:r>
          </w:p>
        </w:tc>
        <w:tc>
          <w:tcPr>
            <w:tcW w:w="62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14C8C" w:rsidRPr="00014C8C" w:rsidTr="00014C8C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Campus:</w:t>
            </w:r>
          </w:p>
        </w:tc>
        <w:tc>
          <w:tcPr>
            <w:tcW w:w="62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14C8C" w:rsidRPr="00014C8C" w:rsidTr="00014C8C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Carga horária:</w:t>
            </w:r>
          </w:p>
        </w:tc>
        <w:tc>
          <w:tcPr>
            <w:tcW w:w="62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  20 horas</w:t>
            </w:r>
          </w:p>
        </w:tc>
      </w:tr>
    </w:tbl>
    <w:p w:rsidR="00014C8C" w:rsidRPr="00014C8C" w:rsidRDefault="00014C8C" w:rsidP="00014C8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4C8C">
        <w:rPr>
          <w:rFonts w:ascii="Calibri" w:eastAsia="Times New Roman" w:hAnsi="Calibri" w:cs="Calibri"/>
          <w:color w:val="000000"/>
          <w:lang w:eastAsia="pt-BR"/>
        </w:rPr>
        <w:t> </w:t>
      </w:r>
    </w:p>
    <w:p w:rsidR="00014C8C" w:rsidRPr="00014C8C" w:rsidRDefault="00014C8C" w:rsidP="00014C8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4C8C">
        <w:rPr>
          <w:rFonts w:ascii="Calibri" w:eastAsia="Times New Roman" w:hAnsi="Calibri" w:cs="Calibri"/>
          <w:b/>
          <w:bCs/>
          <w:color w:val="000000"/>
          <w:lang w:eastAsia="pt-BR"/>
        </w:rPr>
        <w:t>Elementos do Plano de Atividades do Monitor do PASP: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3"/>
        <w:gridCol w:w="4255"/>
      </w:tblGrid>
      <w:tr w:rsidR="00014C8C" w:rsidRPr="00014C8C" w:rsidTr="00014C8C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Descrição</w:t>
            </w:r>
          </w:p>
        </w:tc>
      </w:tr>
      <w:tr w:rsidR="00014C8C" w:rsidRPr="00014C8C" w:rsidTr="00014C8C">
        <w:trPr>
          <w:trHeight w:val="131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Realizar o levantamento dos discentes beneficiários do PAPIQ, do Plano de Permanência e do PBP/MEC. 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O levantamento será realizado por meio de dados fornecidos pelo Coordenador Local do PASP (lista de beneficiários).</w:t>
            </w:r>
          </w:p>
        </w:tc>
      </w:tr>
      <w:tr w:rsidR="00014C8C" w:rsidRPr="00014C8C" w:rsidTr="00014C8C">
        <w:trPr>
          <w:trHeight w:val="15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Realizar o levantamento do rendimento acadêmico dos discentes beneficiários do Plano de Permanência, do PAPIQ, do PBP/MEC e dos discentes encaminhados ao PASP.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O levantamento será realizado através de dados fornecidos p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elo Coordenador Local do PASP  </w:t>
            </w:r>
            <w:bookmarkStart w:id="0" w:name="_GoBack"/>
            <w:bookmarkEnd w:id="0"/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(relatório 14899 gerado no sistema GURI).</w:t>
            </w:r>
          </w:p>
        </w:tc>
      </w:tr>
      <w:tr w:rsidR="00014C8C" w:rsidRPr="00014C8C" w:rsidTr="00014C8C">
        <w:trPr>
          <w:trHeight w:val="10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Identificar e mapear </w:t>
            </w: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a situação acadêmica dos discentes atendidos.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Utilizar o relatório disponibilizado como instrumento de identificação das dificuldades acadêmicas dos discentes atendidos pelo PASP.</w:t>
            </w:r>
          </w:p>
        </w:tc>
      </w:tr>
      <w:tr w:rsidR="00014C8C" w:rsidRPr="00014C8C" w:rsidTr="00014C8C">
        <w:trPr>
          <w:trHeight w:val="32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Realizar reuniões periódicas, visando o acompanhamento do rendimento acadêmico dos discentes encaminhados ao PASP.</w:t>
            </w:r>
          </w:p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monitor do PASP deverá ter conhecimento sobre quais disciplinas são cursadas por cada um dos discentes atendidos pelo Programa (esta informação poderá ser obtida através dos profissionais do </w:t>
            </w:r>
            <w:proofErr w:type="spellStart"/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NuDE</w:t>
            </w:r>
            <w:proofErr w:type="spellEnd"/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ou das Secretarias Acadêmicas).</w:t>
            </w:r>
          </w:p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Ao longo do semestre, deverá realizar reuniões periódicas com os discentes encaminhados ao PASP, com o objetivo de acompanhar a sua situação acadêmica, identificando necessidades de intervenção, que serão prontamente encaminhadas ao servidor Coordenador Local do PASP.</w:t>
            </w:r>
          </w:p>
        </w:tc>
      </w:tr>
      <w:tr w:rsidR="00014C8C" w:rsidRPr="00014C8C" w:rsidTr="00014C8C">
        <w:trPr>
          <w:trHeight w:val="509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Oferecer orientações básicas sobre a rotina acadêmica e organização das atividades acadêmicas.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O monitor deverá oferecer aos discentes orientações de:</w:t>
            </w:r>
          </w:p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- leitura;</w:t>
            </w:r>
          </w:p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- organização dos estudos;</w:t>
            </w:r>
          </w:p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- fichamentos;</w:t>
            </w:r>
          </w:p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preenchimento de </w:t>
            </w:r>
            <w:r w:rsidRPr="00014C8C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Curriculum Vitae</w:t>
            </w: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na Plataforma </w:t>
            </w:r>
            <w:r w:rsidRPr="00014C8C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Lattes</w:t>
            </w: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;</w:t>
            </w:r>
          </w:p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- organização e participação em eventos;</w:t>
            </w:r>
          </w:p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- pesquisas em periódicos;</w:t>
            </w:r>
          </w:p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- navegação em portais da Universidade;</w:t>
            </w:r>
          </w:p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- normas e documentos institucionais;</w:t>
            </w:r>
          </w:p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acolhimento e ambientação dos novos discentes (informar sobre os espaços do </w:t>
            </w:r>
            <w:r w:rsidRPr="00014C8C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campus</w:t>
            </w: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auxiliá-los no acesso aos sistemas institucionais);</w:t>
            </w:r>
          </w:p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- orientações sobre calendário acadêmico e matrículas.</w:t>
            </w:r>
          </w:p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- divulgar e estimular a participação do discente em projetos de extensão e iniciação científica.</w:t>
            </w:r>
          </w:p>
        </w:tc>
      </w:tr>
      <w:tr w:rsidR="00014C8C" w:rsidRPr="00014C8C" w:rsidTr="00014C8C">
        <w:trPr>
          <w:trHeight w:val="15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Verificar, em seu </w:t>
            </w:r>
            <w:r w:rsidRPr="00014C8C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campus</w:t>
            </w: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, se há projetos ou programas que possam auxiliar os discentes em seu rendimento acadêmico.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Pesquisar, por meio das coordenações de curso, a existência de projetos e programas (monitorias, por exemplo), que contemplem ações sobre o aproveitamento acadêmico, visando a inclusão de discentes que apresentem essa necessidade.</w:t>
            </w:r>
          </w:p>
        </w:tc>
      </w:tr>
      <w:tr w:rsidR="00014C8C" w:rsidRPr="00014C8C" w:rsidTr="00014C8C">
        <w:trPr>
          <w:trHeight w:val="15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Realizar orientação aos discentes atendidos pelo PASP para que busquem junto a Coordena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ção do Curso informações sobre </w:t>
            </w: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componentes curriculares que são pré-requisitos, e orientá-los sobre as consequências da reprovação nesses componentes.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Orientar sobre a importância da aprovação nos componentes curriculares que são pré-requisitos, evitando a retenção do discente no curso.</w:t>
            </w:r>
          </w:p>
        </w:tc>
      </w:tr>
      <w:tr w:rsidR="00014C8C" w:rsidRPr="00014C8C" w:rsidTr="00014C8C">
        <w:trPr>
          <w:trHeight w:val="77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Registrar e monitorar a frequência dos discentes encaminhados ao PASP.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Registrar a frequência dos discentes encaminhados ao PASP nas reuniões estabelecidas.</w:t>
            </w:r>
          </w:p>
        </w:tc>
      </w:tr>
      <w:tr w:rsidR="00014C8C" w:rsidRPr="00014C8C" w:rsidTr="00014C8C">
        <w:trPr>
          <w:trHeight w:val="15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Realizar o acompanhamento da frequência dos discentes, orientando-os sobre a justificativa de frequência junto à Secretaria Acadêmica.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Realizar orientações e esclarecimentos sobre como e quando proceder com a justificativa de faltas, identificando os casos que são passíveis de justificativas, evitando as reprovações por frequência.</w:t>
            </w:r>
          </w:p>
        </w:tc>
      </w:tr>
      <w:tr w:rsidR="00014C8C" w:rsidRPr="00014C8C" w:rsidTr="00014C8C">
        <w:trPr>
          <w:trHeight w:val="10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Elaborar em conjunto com o Coordenador Local do </w:t>
            </w:r>
            <w:proofErr w:type="gramStart"/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PASP  o</w:t>
            </w:r>
            <w:proofErr w:type="gramEnd"/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cronograma de atividades do monitor.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Elaborar tabela com dias, horários e atividades a serem desenvolvidas pelo monitor.</w:t>
            </w:r>
          </w:p>
        </w:tc>
      </w:tr>
      <w:tr w:rsidR="00014C8C" w:rsidRPr="00014C8C" w:rsidTr="00014C8C">
        <w:trPr>
          <w:trHeight w:val="77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Apresentar o relatório das atividades desenvolvidas na monitoria.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Elaborar o relatório das atividades desenvolvidas como monitor.</w:t>
            </w:r>
          </w:p>
        </w:tc>
      </w:tr>
      <w:tr w:rsidR="00014C8C" w:rsidRPr="00014C8C" w:rsidTr="00014C8C">
        <w:trPr>
          <w:trHeight w:val="10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Orientar e socializar as ações e programas referentes à assistência estudantil.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O monitor deverá se manter informado sobre ações e programas de assistência estudantil, com o objetivo de divulgá-los ao público discente.</w:t>
            </w:r>
          </w:p>
        </w:tc>
      </w:tr>
      <w:tr w:rsidR="00014C8C" w:rsidRPr="00014C8C" w:rsidTr="00014C8C">
        <w:trPr>
          <w:trHeight w:val="131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Orientar sobre os critérios de manutenção dos auxílios do Plano de Permanência (PP), do PAPIQ e do PBP/MEC.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4C8C" w:rsidRPr="00014C8C" w:rsidRDefault="00014C8C" w:rsidP="00014C8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monitor deverá buscar orientações com o Assistente Social do </w:t>
            </w:r>
            <w:r w:rsidRPr="00014C8C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 xml:space="preserve">campus </w:t>
            </w:r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sobre os critérios de manutenção dos auxílios, com a finalidade de manter o público discente devidamente </w:t>
            </w:r>
            <w:proofErr w:type="spellStart"/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informado</w:t>
            </w:r>
            <w:proofErr w:type="spellEnd"/>
            <w:r w:rsidRPr="00014C8C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014C8C" w:rsidRPr="00014C8C" w:rsidRDefault="00014C8C" w:rsidP="00014C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4C8C">
        <w:rPr>
          <w:rFonts w:ascii="Arial" w:eastAsia="Times New Roman" w:hAnsi="Arial" w:cs="Arial"/>
          <w:color w:val="000000"/>
          <w:lang w:eastAsia="pt-BR"/>
        </w:rPr>
        <w:t> </w:t>
      </w:r>
    </w:p>
    <w:p w:rsidR="00014C8C" w:rsidRPr="00014C8C" w:rsidRDefault="00014C8C" w:rsidP="00014C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4C8C" w:rsidRPr="00014C8C" w:rsidRDefault="00014C8C" w:rsidP="00014C8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4C8C">
        <w:rPr>
          <w:rFonts w:ascii="Calibri" w:eastAsia="Times New Roman" w:hAnsi="Calibri" w:cs="Calibri"/>
          <w:color w:val="000000"/>
          <w:lang w:eastAsia="pt-BR"/>
        </w:rPr>
        <w:t xml:space="preserve">____________, _____ de ________ </w:t>
      </w:r>
      <w:proofErr w:type="spellStart"/>
      <w:r w:rsidRPr="00014C8C">
        <w:rPr>
          <w:rFonts w:ascii="Calibri" w:eastAsia="Times New Roman" w:hAnsi="Calibri" w:cs="Calibri"/>
          <w:color w:val="000000"/>
          <w:lang w:eastAsia="pt-BR"/>
        </w:rPr>
        <w:t>de</w:t>
      </w:r>
      <w:proofErr w:type="spellEnd"/>
      <w:r w:rsidRPr="00014C8C">
        <w:rPr>
          <w:rFonts w:ascii="Calibri" w:eastAsia="Times New Roman" w:hAnsi="Calibri" w:cs="Calibri"/>
          <w:color w:val="000000"/>
          <w:lang w:eastAsia="pt-BR"/>
        </w:rPr>
        <w:t xml:space="preserve"> 202_.</w:t>
      </w:r>
    </w:p>
    <w:p w:rsidR="00014C8C" w:rsidRPr="00014C8C" w:rsidRDefault="00014C8C" w:rsidP="00014C8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4C8C">
        <w:rPr>
          <w:rFonts w:ascii="Calibri" w:eastAsia="Times New Roman" w:hAnsi="Calibri" w:cs="Calibri"/>
          <w:color w:val="000000"/>
          <w:lang w:eastAsia="pt-BR"/>
        </w:rPr>
        <w:t> </w:t>
      </w:r>
    </w:p>
    <w:p w:rsidR="00014C8C" w:rsidRPr="00014C8C" w:rsidRDefault="00014C8C" w:rsidP="00014C8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4C8C">
        <w:rPr>
          <w:rFonts w:ascii="Calibri" w:eastAsia="Times New Roman" w:hAnsi="Calibri" w:cs="Calibri"/>
          <w:color w:val="000000"/>
          <w:lang w:eastAsia="pt-BR"/>
        </w:rPr>
        <w:t>________________________________________________</w:t>
      </w:r>
    </w:p>
    <w:p w:rsidR="00014C8C" w:rsidRPr="00014C8C" w:rsidRDefault="00014C8C" w:rsidP="00014C8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4C8C">
        <w:rPr>
          <w:rFonts w:ascii="Calibri" w:eastAsia="Times New Roman" w:hAnsi="Calibri" w:cs="Calibri"/>
          <w:color w:val="000000"/>
          <w:lang w:eastAsia="pt-BR"/>
        </w:rPr>
        <w:t>Nome e Assinatura do Servidor Coordenador Local do PASP</w:t>
      </w:r>
    </w:p>
    <w:p w:rsidR="00014C8C" w:rsidRPr="00014C8C" w:rsidRDefault="00014C8C" w:rsidP="00014C8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4C8C">
        <w:rPr>
          <w:rFonts w:ascii="Calibri" w:eastAsia="Times New Roman" w:hAnsi="Calibri" w:cs="Calibri"/>
          <w:color w:val="000000"/>
          <w:lang w:eastAsia="pt-BR"/>
        </w:rPr>
        <w:t> </w:t>
      </w:r>
    </w:p>
    <w:p w:rsidR="00014C8C" w:rsidRPr="00014C8C" w:rsidRDefault="00014C8C" w:rsidP="00014C8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4C8C">
        <w:rPr>
          <w:rFonts w:ascii="Calibri" w:eastAsia="Times New Roman" w:hAnsi="Calibri" w:cs="Calibri"/>
          <w:color w:val="000000"/>
          <w:lang w:eastAsia="pt-BR"/>
        </w:rPr>
        <w:t>________________________________________________</w:t>
      </w:r>
    </w:p>
    <w:p w:rsidR="00014C8C" w:rsidRPr="00014C8C" w:rsidRDefault="00014C8C" w:rsidP="00014C8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4C8C">
        <w:rPr>
          <w:rFonts w:ascii="Calibri" w:eastAsia="Times New Roman" w:hAnsi="Calibri" w:cs="Calibri"/>
          <w:color w:val="000000"/>
          <w:lang w:eastAsia="pt-BR"/>
        </w:rPr>
        <w:t>Nome e Assinatura do Monitor PASP</w:t>
      </w:r>
    </w:p>
    <w:p w:rsidR="00DB252F" w:rsidRDefault="00DB252F"/>
    <w:sectPr w:rsidR="00DB2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8C"/>
    <w:rsid w:val="00014C8C"/>
    <w:rsid w:val="00DB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F97A8-B27E-46D5-91E0-155D43AB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2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2024-01-12T21:02:00Z</dcterms:created>
  <dcterms:modified xsi:type="dcterms:W3CDTF">2024-01-12T21:02:00Z</dcterms:modified>
</cp:coreProperties>
</file>