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EDITAL Nº </w:t>
      </w:r>
      <w:r>
        <w:rPr>
          <w:rFonts w:ascii="Arial" w:hAnsi="Arial" w:cs="Arial"/>
          <w:b/>
          <w:szCs w:val="24"/>
          <w:lang w:val="pt-BR"/>
        </w:rPr>
        <w:t>063</w:t>
      </w:r>
      <w:bookmarkStart w:id="0" w:name="_GoBack"/>
      <w:bookmarkEnd w:id="0"/>
      <w:r>
        <w:rPr>
          <w:rFonts w:ascii="Arial" w:hAnsi="Arial" w:cs="Arial"/>
          <w:b/>
          <w:szCs w:val="24"/>
        </w:rPr>
        <w:t>/201</w:t>
      </w:r>
      <w:r>
        <w:rPr>
          <w:rFonts w:ascii="Arial" w:hAnsi="Arial" w:cs="Arial"/>
          <w:b/>
          <w:szCs w:val="24"/>
          <w:lang w:val="pt-BR"/>
        </w:rPr>
        <w:t>8</w:t>
      </w:r>
    </w:p>
    <w:p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Cs w:val="24"/>
        </w:rPr>
        <w:t>PROGRAMA DE APOIO À FORMAÇÃO CONTINUADA DE PROFISSIONAIS DA EDUCAÇÃO BÁSICA - PROFOR</w:t>
      </w:r>
    </w:p>
    <w:p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ANEXO II </w:t>
      </w:r>
    </w:p>
    <w:p>
      <w:pPr>
        <w:spacing w:after="0" w:line="240" w:lineRule="auto"/>
        <w:jc w:val="center"/>
        <w:rPr>
          <w:rFonts w:ascii="Arial" w:hAnsi="Arial" w:cs="Arial"/>
          <w:b/>
          <w:sz w:val="14"/>
          <w:szCs w:val="16"/>
        </w:rPr>
      </w:pPr>
      <w:r>
        <w:rPr>
          <w:rFonts w:ascii="Arial" w:hAnsi="Arial" w:cs="Arial"/>
          <w:b/>
          <w:sz w:val="24"/>
        </w:rPr>
        <w:t>Planilha de utilização de recursos financeiros</w:t>
      </w:r>
    </w:p>
    <w:p>
      <w:pPr>
        <w:spacing w:after="0" w:line="240" w:lineRule="auto"/>
        <w:jc w:val="center"/>
        <w:rPr>
          <w:rFonts w:ascii="Arial" w:hAnsi="Arial" w:cs="Arial"/>
          <w:b/>
          <w:sz w:val="14"/>
          <w:szCs w:val="16"/>
        </w:rPr>
      </w:pPr>
    </w:p>
    <w:p>
      <w:r>
        <w:rPr>
          <w:rFonts w:ascii="Arial" w:hAnsi="Arial" w:cs="Arial"/>
        </w:rPr>
        <w:t>Planilha de Recursos Solicitados:</w:t>
      </w:r>
    </w:p>
    <w:p>
      <w:pPr>
        <w:pStyle w:val="6"/>
        <w:spacing w:after="100"/>
      </w:pPr>
      <w:r>
        <w:t>1 DIÁRIAS</w:t>
      </w:r>
    </w:p>
    <w:tbl>
      <w:tblPr>
        <w:tblStyle w:val="5"/>
        <w:tblW w:w="13971" w:type="dxa"/>
        <w:tblInd w:w="-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1474"/>
        <w:gridCol w:w="2058"/>
        <w:gridCol w:w="1763"/>
        <w:gridCol w:w="2057"/>
        <w:gridCol w:w="25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after="100"/>
              <w:jc w:val="center"/>
            </w:pPr>
            <w:r>
              <w:t>Classificação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after="100"/>
              <w:jc w:val="center"/>
            </w:pPr>
            <w:r>
              <w:t>Quantidade de diárias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after="100"/>
              <w:jc w:val="center"/>
            </w:pPr>
            <w:r>
              <w:t>Local e Instituição de Origem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after="100"/>
              <w:jc w:val="center"/>
            </w:pPr>
            <w:r>
              <w:t>Período previsto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after="100"/>
              <w:jc w:val="center"/>
            </w:pPr>
            <w:r>
              <w:t>Justificativa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after="100"/>
              <w:jc w:val="center"/>
            </w:pPr>
            <w:r>
              <w:t>Valor estimado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after="100"/>
            </w:pPr>
            <w:r>
              <w:rPr>
                <w:b/>
              </w:rPr>
              <w:t xml:space="preserve">Professor ou TAE da UNIPAMPA ou de outras instituições públicas </w:t>
            </w:r>
            <w:r>
              <w:t>(municipal, estadual e federal)</w:t>
            </w:r>
            <w:r>
              <w:rPr>
                <w:b/>
              </w:rPr>
              <w:t xml:space="preserve"> 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napToGrid w:val="0"/>
              <w:spacing w:after="100"/>
              <w:jc w:val="center"/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napToGrid w:val="0"/>
              <w:spacing w:after="100"/>
              <w:jc w:val="center"/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napToGrid w:val="0"/>
              <w:spacing w:after="100"/>
              <w:jc w:val="center"/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napToGrid w:val="0"/>
              <w:spacing w:after="100"/>
              <w:jc w:val="center"/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spacing w:after="100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after="100"/>
            </w:pPr>
            <w:r>
              <w:rPr>
                <w:b/>
              </w:rPr>
              <w:t>Colaborador Eventual</w:t>
            </w:r>
            <w:r>
              <w:t xml:space="preserve"> (sem vínculo com instituições públicas)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napToGrid w:val="0"/>
              <w:spacing w:after="100"/>
              <w:jc w:val="center"/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napToGrid w:val="0"/>
              <w:spacing w:after="100"/>
              <w:jc w:val="center"/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napToGrid w:val="0"/>
              <w:spacing w:after="100"/>
              <w:jc w:val="center"/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napToGrid w:val="0"/>
              <w:spacing w:after="100"/>
              <w:jc w:val="center"/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spacing w:after="100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napToGrid w:val="0"/>
              <w:spacing w:after="100"/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spacing w:after="100"/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pStyle w:val="6"/>
              <w:snapToGrid w:val="0"/>
              <w:spacing w:after="100"/>
              <w:jc w:val="center"/>
            </w:pPr>
          </w:p>
        </w:tc>
      </w:tr>
    </w:tbl>
    <w:p>
      <w:pPr>
        <w:pStyle w:val="6"/>
        <w:spacing w:after="10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Observações:</w:t>
      </w:r>
    </w:p>
    <w:p>
      <w:pPr>
        <w:pStyle w:val="6"/>
        <w:spacing w:line="240" w:lineRule="auto"/>
        <w:jc w:val="both"/>
        <w:rPr>
          <w:b/>
          <w:color w:val="auto"/>
          <w:sz w:val="10"/>
          <w:szCs w:val="10"/>
        </w:rPr>
      </w:pPr>
      <w:r>
        <w:rPr>
          <w:b/>
          <w:sz w:val="20"/>
          <w:szCs w:val="20"/>
        </w:rPr>
        <w:t>* o cálculo das diárias para servidor com SIAPE deverá considerar os valores descritos no final deste anexo e o desconto referente ao auxílio-alimentação, no valor de R$ 20,82/dia; para os demais casos, as diárias deverão ser calculadas sem o referido desconto.</w:t>
      </w:r>
    </w:p>
    <w:p>
      <w:pPr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 xml:space="preserve">* 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acrescentar o valor da taxa de embarque e desembarque, nos casos em que não for utilizado veículo oficial em nenhum dos trechos da viagem.</w:t>
      </w:r>
      <w:r>
        <w:rPr>
          <w:rStyle w:val="7"/>
          <w:rFonts w:ascii="Arial" w:hAnsi="Arial" w:cs="Arial"/>
          <w:b/>
          <w:color w:val="222222"/>
          <w:sz w:val="20"/>
          <w:szCs w:val="20"/>
          <w:shd w:val="clear" w:color="auto" w:fill="FFFFFF"/>
        </w:rPr>
        <w:t> </w:t>
      </w:r>
    </w:p>
    <w:p>
      <w:pPr>
        <w:pStyle w:val="6"/>
        <w:spacing w:line="240" w:lineRule="auto"/>
        <w:rPr>
          <w:b/>
          <w:sz w:val="10"/>
          <w:szCs w:val="10"/>
        </w:rPr>
      </w:pPr>
      <w:r>
        <w:rPr>
          <w:b/>
          <w:sz w:val="20"/>
          <w:szCs w:val="20"/>
        </w:rPr>
        <w:t xml:space="preserve">* as diárias poderão ser ajustadas após aprovação, mediante justificativa encaminhada para a PROEXT. </w:t>
      </w:r>
    </w:p>
    <w:p>
      <w:pPr>
        <w:pStyle w:val="6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* as diárias serão solicitadas via SCDP e operacionalizadas no Campus de origem de cada Coordenador de Curso.</w:t>
      </w:r>
    </w:p>
    <w:p>
      <w:pPr>
        <w:pStyle w:val="6"/>
        <w:spacing w:line="240" w:lineRule="auto"/>
        <w:rPr>
          <w:b/>
          <w:sz w:val="20"/>
          <w:szCs w:val="20"/>
        </w:rPr>
      </w:pPr>
    </w:p>
    <w:p>
      <w:pPr>
        <w:pStyle w:val="6"/>
        <w:spacing w:line="240" w:lineRule="auto"/>
        <w:rPr>
          <w:b/>
          <w:sz w:val="20"/>
          <w:szCs w:val="20"/>
        </w:rPr>
      </w:pPr>
    </w:p>
    <w:p>
      <w:pPr>
        <w:pStyle w:val="6"/>
        <w:spacing w:line="240" w:lineRule="auto"/>
        <w:rPr>
          <w:b/>
          <w:sz w:val="20"/>
          <w:szCs w:val="20"/>
        </w:rPr>
      </w:pPr>
    </w:p>
    <w:p>
      <w:pPr>
        <w:pStyle w:val="6"/>
        <w:spacing w:line="240" w:lineRule="auto"/>
        <w:rPr>
          <w:b/>
          <w:sz w:val="20"/>
          <w:szCs w:val="20"/>
        </w:rPr>
      </w:pPr>
    </w:p>
    <w:p>
      <w:pPr>
        <w:pStyle w:val="6"/>
        <w:spacing w:line="240" w:lineRule="auto"/>
        <w:rPr>
          <w:b/>
          <w:sz w:val="20"/>
          <w:szCs w:val="20"/>
        </w:rPr>
      </w:pPr>
    </w:p>
    <w:p>
      <w:pPr>
        <w:pStyle w:val="6"/>
        <w:spacing w:after="100"/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6838" w:h="11906" w:orient="landscape"/>
          <w:pgMar w:top="1276" w:right="1417" w:bottom="1134" w:left="1417" w:header="284" w:footer="708" w:gutter="0"/>
          <w:cols w:space="720" w:num="1"/>
          <w:docGrid w:linePitch="360" w:charSpace="0"/>
        </w:sectPr>
      </w:pPr>
    </w:p>
    <w:p>
      <w:pPr>
        <w:pStyle w:val="6"/>
        <w:spacing w:after="100"/>
      </w:pPr>
      <w:r>
        <w:t>2 PASSAGENS</w:t>
      </w:r>
    </w:p>
    <w:tbl>
      <w:tblPr>
        <w:tblStyle w:val="5"/>
        <w:tblW w:w="1401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1701"/>
        <w:gridCol w:w="2268"/>
        <w:gridCol w:w="1985"/>
        <w:gridCol w:w="2409"/>
        <w:gridCol w:w="19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after="100"/>
              <w:jc w:val="center"/>
            </w:pPr>
            <w:r>
              <w:t>Classificação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after="100"/>
              <w:jc w:val="center"/>
            </w:pPr>
            <w:r>
              <w:t>Quantidade de passagens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after="100"/>
              <w:jc w:val="center"/>
            </w:pPr>
            <w:r>
              <w:t>Local e Instituição de Origem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after="100"/>
              <w:jc w:val="center"/>
            </w:pPr>
            <w:r>
              <w:t>Período previsto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after="100"/>
              <w:jc w:val="center"/>
            </w:pPr>
            <w:r>
              <w:t>Justificativa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after="100"/>
              <w:jc w:val="center"/>
            </w:pPr>
            <w:r>
              <w:t>Valor Estimado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after="100"/>
            </w:pPr>
            <w:r>
              <w:rPr>
                <w:b/>
              </w:rPr>
              <w:t xml:space="preserve">Professor ou TAE da UNIPAMPA ou de outras instituições públicas </w:t>
            </w:r>
            <w:r>
              <w:t>(municipal, estadual e federal)</w:t>
            </w:r>
            <w:r>
              <w:rPr>
                <w:b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b/>
                <w:sz w:val="20"/>
              </w:rPr>
              <w:t>RODOVIÁRIO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after="100"/>
            </w:pPr>
            <w:r>
              <w:rPr>
                <w:b/>
              </w:rPr>
              <w:t>Colaborador Eventual</w:t>
            </w:r>
            <w:r>
              <w:t xml:space="preserve"> (sem vínculo com instituições públicas) </w:t>
            </w:r>
            <w:r>
              <w:rPr>
                <w:sz w:val="20"/>
              </w:rPr>
              <w:t xml:space="preserve">- </w:t>
            </w:r>
            <w:r>
              <w:rPr>
                <w:b/>
                <w:sz w:val="20"/>
              </w:rPr>
              <w:t>RODOVIÁRIO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after="100"/>
            </w:pPr>
            <w:r>
              <w:rPr>
                <w:b/>
              </w:rPr>
              <w:t xml:space="preserve">Professor ou TAE da UNIPAMPA ou de outras instituições públicas </w:t>
            </w:r>
            <w:r>
              <w:t>(municipal, estadual e federal)</w:t>
            </w:r>
            <w:r>
              <w:rPr>
                <w:b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b/>
                <w:sz w:val="20"/>
              </w:rPr>
              <w:t>AÉREO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after="100"/>
            </w:pPr>
            <w:r>
              <w:rPr>
                <w:b/>
              </w:rPr>
              <w:t>Colaborador Eventual</w:t>
            </w:r>
            <w:r>
              <w:t xml:space="preserve"> (sem vínculo com instituições públicas) </w:t>
            </w:r>
            <w:r>
              <w:rPr>
                <w:sz w:val="20"/>
              </w:rPr>
              <w:t xml:space="preserve">- </w:t>
            </w:r>
            <w:r>
              <w:rPr>
                <w:b/>
                <w:sz w:val="20"/>
              </w:rPr>
              <w:t>AÉREO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napToGrid w:val="0"/>
              <w:spacing w:after="10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6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pStyle w:val="6"/>
              <w:snapToGrid w:val="0"/>
              <w:spacing w:after="100"/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pStyle w:val="6"/>
              <w:spacing w:after="100"/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top"/>
          </w:tcPr>
          <w:p>
            <w:pPr>
              <w:pStyle w:val="6"/>
              <w:snapToGrid w:val="0"/>
              <w:spacing w:after="100"/>
            </w:pPr>
          </w:p>
        </w:tc>
      </w:tr>
    </w:tbl>
    <w:p>
      <w:pPr>
        <w:pStyle w:val="6"/>
        <w:spacing w:after="10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Observação: </w:t>
      </w:r>
    </w:p>
    <w:p>
      <w:pPr>
        <w:pStyle w:val="6"/>
        <w:spacing w:line="240" w:lineRule="auto"/>
        <w:rPr>
          <w:b/>
          <w:sz w:val="10"/>
          <w:szCs w:val="10"/>
        </w:rPr>
      </w:pPr>
      <w:r>
        <w:rPr>
          <w:b/>
          <w:sz w:val="20"/>
          <w:szCs w:val="20"/>
        </w:rPr>
        <w:t xml:space="preserve">* as passagens poderão ser ajustadas após aprovação, mediante justificativa encaminhada para a PROEXT e não excedendo os limites máximos estipulados no Edital. </w:t>
      </w:r>
    </w:p>
    <w:p>
      <w:pPr>
        <w:pStyle w:val="6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*as passagens serão solicitadas via SCDP e operacionalizadas no Campus de origem de cada Coordenador de Curso.</w:t>
      </w:r>
    </w:p>
    <w:p>
      <w:pPr>
        <w:pStyle w:val="6"/>
        <w:spacing w:line="240" w:lineRule="auto"/>
        <w:rPr>
          <w:b/>
          <w:sz w:val="20"/>
          <w:szCs w:val="20"/>
        </w:rPr>
      </w:pPr>
    </w:p>
    <w:p>
      <w:pPr>
        <w:pStyle w:val="6"/>
        <w:spacing w:line="240" w:lineRule="auto"/>
        <w:rPr>
          <w:b/>
          <w:sz w:val="20"/>
          <w:szCs w:val="20"/>
        </w:rPr>
      </w:pPr>
    </w:p>
    <w:p>
      <w:pPr>
        <w:pStyle w:val="6"/>
        <w:spacing w:line="240" w:lineRule="auto"/>
        <w:rPr>
          <w:b/>
          <w:sz w:val="20"/>
          <w:szCs w:val="20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3. AUXÍLIO FINANCEIRO</w:t>
      </w:r>
      <w:r>
        <w:rPr>
          <w:rFonts w:ascii="Arial" w:hAnsi="Arial" w:cs="Arial"/>
          <w:lang w:val="pt-BR"/>
        </w:rPr>
        <w:t xml:space="preserve"> A ESTUDANTE</w:t>
      </w:r>
      <w:r>
        <w:rPr>
          <w:rFonts w:ascii="Arial" w:hAnsi="Arial" w:cs="Arial"/>
        </w:rPr>
        <w:t xml:space="preserve"> para custear pequenas despesas de consumo relativas à</w:t>
      </w:r>
      <w:r>
        <w:t xml:space="preserve"> participação de discente em atividades de organização e execução do curso.</w:t>
      </w:r>
    </w:p>
    <w:tbl>
      <w:tblPr>
        <w:tblStyle w:val="5"/>
        <w:tblW w:w="1401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8"/>
        <w:gridCol w:w="7885"/>
        <w:gridCol w:w="2987"/>
      </w:tblGrid>
      <w:tr>
        <w:tblPrEx>
          <w:tblLayout w:type="fixed"/>
        </w:tblPrEx>
        <w:trPr>
          <w:trHeight w:val="697" w:hRule="atLeast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Tipo de despesa de custeio</w:t>
            </w:r>
          </w:p>
        </w:tc>
        <w:tc>
          <w:tcPr>
            <w:tcW w:w="7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Justificativa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Valor estimado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napToGrid w:val="0"/>
              <w:spacing w:after="0" w:line="240" w:lineRule="auto"/>
            </w:pPr>
          </w:p>
        </w:tc>
        <w:tc>
          <w:tcPr>
            <w:tcW w:w="7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napToGrid w:val="0"/>
              <w:spacing w:after="0" w:line="240" w:lineRule="auto"/>
            </w:pP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after="0" w:line="240" w:lineRule="auto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napToGrid w:val="0"/>
              <w:spacing w:after="0" w:line="240" w:lineRule="auto"/>
            </w:pPr>
          </w:p>
        </w:tc>
        <w:tc>
          <w:tcPr>
            <w:tcW w:w="7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napToGrid w:val="0"/>
              <w:spacing w:after="0" w:line="240" w:lineRule="auto"/>
            </w:pP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after="0" w:line="240" w:lineRule="auto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right"/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top"/>
          </w:tcPr>
          <w:p>
            <w:pPr>
              <w:snapToGrid w:val="0"/>
              <w:spacing w:after="0" w:line="240" w:lineRule="auto"/>
            </w:pPr>
          </w:p>
        </w:tc>
      </w:tr>
    </w:tbl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Obs.: Livros não poderão ser adquiridos, pois são considerados materiais permanentes.</w:t>
      </w:r>
    </w:p>
    <w:p>
      <w:pPr>
        <w:rPr>
          <w:rFonts w:ascii="Arial" w:hAnsi="Arial" w:cs="Arial"/>
        </w:rPr>
      </w:pPr>
    </w:p>
    <w:p>
      <w:pPr>
        <w:pageBreakBefore/>
        <w:spacing w:after="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Cs w:val="20"/>
        </w:rPr>
        <w:t>Tabela – Valor da Indenização de Diárias aos servidores públicos federais no país.</w:t>
      </w:r>
    </w:p>
    <w:p>
      <w:pPr>
        <w:spacing w:after="0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Style w:val="5"/>
        <w:tblW w:w="947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42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contextualSpacing/>
              <w:jc w:val="center"/>
            </w:pPr>
            <w:r>
              <w:rPr>
                <w:b/>
              </w:rPr>
              <w:t>Classificação do Cargo/Emprego/Função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</w:pPr>
            <w:r>
              <w:rPr>
                <w:b/>
              </w:rPr>
              <w:t>Deslocamentos para a região dos campi Unipampa</w:t>
            </w:r>
          </w:p>
        </w:tc>
      </w:tr>
      <w:tr>
        <w:tblPrEx>
          <w:tblLayout w:type="fixed"/>
        </w:tblPrEx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240"/>
              </w:tabs>
              <w:spacing w:after="0"/>
              <w:ind w:left="0" w:firstLine="0"/>
            </w:pPr>
            <w:r>
              <w:t>DAS-6; CD-1; FDS-1 e FDJ-1 do BACEN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34"/>
              <w:contextualSpacing/>
              <w:jc w:val="center"/>
            </w:pPr>
            <w:r>
              <w:t>253,50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240"/>
              </w:tabs>
              <w:spacing w:after="0"/>
              <w:ind w:left="0" w:firstLine="0"/>
            </w:pPr>
            <w:r>
              <w:t>DAS-5, DAS-4, DAS-3; CD-2, CD-3, CD-4;                 FDE-1, FDE-2; FDT-1; FCA-1, FCA-2, FCA-3;                FCT1, FCT2; FCT3, GTS1; GTS2; GTS3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34"/>
              <w:contextualSpacing/>
              <w:jc w:val="center"/>
            </w:pPr>
            <w:r>
              <w:t>211,50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240"/>
              </w:tabs>
              <w:spacing w:after="0"/>
              <w:ind w:left="0" w:firstLine="0"/>
            </w:pPr>
            <w:r>
              <w:t>DAS-2, DAS-1; FCT4, FCT5, FCT6, FCT7; cargos de nível superior e FCINSS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240"/>
              </w:tabs>
              <w:spacing w:after="0"/>
              <w:ind w:left="0" w:firstLine="0"/>
            </w:pPr>
            <w:r>
              <w:t>FG-1, FG-2, FG-3; GR; FST-1, FST-2, FST-3 do BACEN; FDO-1, FCA-4, FCA- 5 do BACEN;                                 FCT8, FCT9, FCT10, FCT11, FCT12, FCT13, FCT14, FCT15; cargos de nível intermediário e auxiliar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34"/>
              <w:contextualSpacing/>
              <w:jc w:val="center"/>
            </w:pPr>
            <w:r>
              <w:t>177,00</w:t>
            </w:r>
          </w:p>
        </w:tc>
      </w:tr>
    </w:tbl>
    <w:p>
      <w:pPr>
        <w:spacing w:after="0"/>
        <w:ind w:left="2124"/>
        <w:contextualSpacing/>
        <w:rPr>
          <w:b/>
        </w:rPr>
      </w:pPr>
      <w:r>
        <w:rPr>
          <w:rFonts w:cs="Calibri"/>
          <w:b/>
        </w:rPr>
        <w:t xml:space="preserve"> </w:t>
      </w:r>
      <w:r>
        <w:rPr>
          <w:b/>
        </w:rPr>
        <w:t>Adicional de Embarque e Desembarque – R$ 95,00</w:t>
      </w:r>
    </w:p>
    <w:p>
      <w:pPr>
        <w:spacing w:after="0"/>
        <w:contextualSpacing/>
        <w:rPr>
          <w:b/>
        </w:rPr>
      </w:pPr>
    </w:p>
    <w:p>
      <w:pPr>
        <w:pStyle w:val="6"/>
        <w:spacing w:after="10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Observação: </w:t>
      </w:r>
    </w:p>
    <w:p>
      <w:pPr>
        <w:spacing w:after="0"/>
        <w:contextualSpacing/>
        <w:jc w:val="both"/>
      </w:pPr>
      <w:r>
        <w:rPr>
          <w:rFonts w:ascii="Arial" w:hAnsi="Arial" w:cs="Arial"/>
          <w:b/>
          <w:sz w:val="20"/>
          <w:szCs w:val="20"/>
        </w:rPr>
        <w:t>* quando o afastamento não exigir pernoite fora da sede ou no dia de retorno, o servidor fará jus à metade do valor da diária.</w:t>
      </w:r>
    </w:p>
    <w:p>
      <w:pPr>
        <w:pStyle w:val="3"/>
        <w:jc w:val="center"/>
        <w:rPr>
          <w:rFonts w:hint="default" w:ascii="Arial" w:hAnsi="Arial" w:cs="Arial"/>
          <w:sz w:val="22"/>
          <w:szCs w:val="22"/>
        </w:rPr>
      </w:pPr>
    </w:p>
    <w:p>
      <w:pPr>
        <w:pStyle w:val="3"/>
        <w:jc w:val="both"/>
        <w:rPr>
          <w:rFonts w:hint="default" w:ascii="Arial" w:hAnsi="Arial" w:cs="Arial"/>
          <w:sz w:val="22"/>
          <w:szCs w:val="22"/>
        </w:rPr>
        <w:sectPr>
          <w:pgSz w:w="16783" w:h="11850" w:orient="landscape"/>
          <w:pgMar w:top="1701" w:right="1701" w:bottom="1134" w:left="1134" w:header="426" w:footer="709" w:gutter="0"/>
          <w:cols w:equalWidth="0" w:num="1">
            <w:col w:w="9746"/>
          </w:cols>
          <w:formProt w:val="0"/>
          <w:docGrid w:linePitch="360" w:charSpace="0"/>
        </w:sect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angal">
    <w:altName w:val="Courier New"/>
    <w:panose1 w:val="00000400000000000000"/>
    <w:charset w:val="01"/>
    <w:family w:val="decorative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moder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modern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Lucida Sans">
    <w:panose1 w:val="020B0602040502020204"/>
    <w:charset w:val="00"/>
    <w:family w:val="modern"/>
    <w:pitch w:val="default"/>
    <w:sig w:usb0="8100AAF7" w:usb1="0000807B" w:usb2="00000008" w:usb3="00000000" w:csb0="6000009F" w:csb1="FFFF0000"/>
  </w:font>
  <w:font w:name="Georgia">
    <w:panose1 w:val="02040502050405020303"/>
    <w:charset w:val="00"/>
    <w:family w:val="modern"/>
    <w:pitch w:val="default"/>
    <w:sig w:usb0="00000287" w:usb1="00000000" w:usb2="00000000" w:usb3="00000000" w:csb0="2000009F" w:csb1="00000000"/>
  </w:font>
  <w:font w:name="Calibri">
    <w:panose1 w:val="020F0502020204030204"/>
    <w:charset w:val="86"/>
    <w:family w:val="modern"/>
    <w:pitch w:val="default"/>
    <w:sig w:usb0="E0002A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00" w:after="0" w:line="240" w:lineRule="auto"/>
      <w:jc w:val="center"/>
      <w:rPr>
        <w:rFonts w:ascii="Arial" w:hAnsi="Arial" w:eastAsia="Times New Roman" w:cs="Arial"/>
        <w:kern w:val="1"/>
        <w:sz w:val="16"/>
        <w:szCs w:val="16"/>
        <w:lang w:eastAsia="ar-SA"/>
      </w:rPr>
    </w:pPr>
    <w:r>
      <w:rPr>
        <w:rFonts w:ascii="Arial" w:hAnsi="Arial" w:eastAsia="Times New Roman" w:cs="Arial"/>
        <w:b/>
        <w:bCs/>
        <w:kern w:val="1"/>
        <w:sz w:val="16"/>
        <w:szCs w:val="16"/>
        <w:lang w:eastAsia="ar-SA"/>
      </w:rPr>
      <w:t>Universidade Federal do Pampa – Pró-Reitoria de Extensão e Cultura</w:t>
    </w:r>
  </w:p>
  <w:p>
    <w:pPr>
      <w:spacing w:before="100" w:after="0" w:line="240" w:lineRule="auto"/>
      <w:jc w:val="center"/>
      <w:rPr>
        <w:lang w:val="en-US"/>
      </w:rPr>
    </w:pPr>
    <w:r>
      <w:rPr>
        <w:rFonts w:ascii="Arial" w:hAnsi="Arial" w:eastAsia="Times New Roman" w:cs="Arial"/>
        <w:kern w:val="1"/>
        <w:sz w:val="16"/>
        <w:szCs w:val="16"/>
        <w:lang w:val="en-US" w:eastAsia="ar-SA"/>
      </w:rPr>
      <w:t>Fone: (53) 3240-5426  Voip 5371 - Email: proext@unipampa.edu.br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  <w:lang w:val="pt-BR"/>
                            </w:rPr>
                          </w:pPr>
                          <w:r>
                            <w:rPr>
                              <w:sz w:val="18"/>
                              <w:lang w:val="pt-BR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lang w:val="pt-BR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lang w:val="pt-BR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  <w:lang w:val="pt-B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xxMqha8BAABj&#10;AwAADgAAAAAAAAABACAAAAAeAQAAZHJzL2Uyb0RvYy54bWxQSwUGAAAAAAYABgBZAQAAPw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  <w:lang w:val="pt-BR"/>
                      </w:rPr>
                    </w:pPr>
                    <w:r>
                      <w:rPr>
                        <w:sz w:val="18"/>
                        <w:lang w:val="pt-BR"/>
                      </w:rPr>
                      <w:fldChar w:fldCharType="begin"/>
                    </w:r>
                    <w:r>
                      <w:rPr>
                        <w:sz w:val="18"/>
                        <w:lang w:val="pt-BR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lang w:val="pt-BR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  <w:lang w:val="pt-B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4876800" cy="1275715"/>
          <wp:effectExtent l="0" t="0" r="0" b="63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6800" cy="12757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F61CE"/>
    <w:rsid w:val="1AAC7DED"/>
    <w:rsid w:val="377F61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3">
    <w:name w:val="Balloon Text"/>
    <w:basedOn w:val="1"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O-normal"/>
    <w:qFormat/>
    <w:uiPriority w:val="0"/>
    <w:pPr>
      <w:suppressAutoHyphens/>
      <w:spacing w:line="276" w:lineRule="auto"/>
    </w:pPr>
    <w:rPr>
      <w:rFonts w:ascii="Arial" w:hAnsi="Arial" w:eastAsia="Arial" w:cs="Arial"/>
      <w:color w:val="000000"/>
      <w:sz w:val="22"/>
      <w:szCs w:val="22"/>
      <w:lang w:val="pt-BR" w:eastAsia="zh-CN" w:bidi="ar-SA"/>
    </w:rPr>
  </w:style>
  <w:style w:type="character" w:customStyle="1" w:styleId="7">
    <w:name w:val="apple-converted-space"/>
    <w:basedOn w:val="4"/>
    <w:qFormat/>
    <w:uiPriority w:val="0"/>
  </w:style>
  <w:style w:type="paragraph" w:customStyle="1" w:styleId="8">
    <w:name w:val="_Style 4"/>
    <w:basedOn w:val="1"/>
    <w:qFormat/>
    <w:uiPriority w:val="0"/>
    <w:pPr>
      <w:spacing w:before="0" w:after="200"/>
      <w:ind w:left="720" w:right="0" w:firstLine="0"/>
      <w:contextualSpacing/>
    </w:pPr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2018-03-05T19:04:00Z</dcterms:created>
  <dc:creator>rafaelmaurer</dc:creator>
  <cp:lastModifiedBy>rafaelmaurer</cp:lastModifiedBy>
  <dcterms:modified xsi:type="dcterms:W3CDTF">2018-03-05T19:31:51Z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1046-10.2.0.5965</vt:lpwstr>
  </property>
</Properties>
</file>