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ORIENTAÇÕES SOBRE O RELATÓRIO DE ADEQUAÇÃO DE BIBLIOGRAFIA POR COMPONENTE CURRICULAR </w:t>
      </w:r>
    </w:p>
    <w:p w:rsidR="00000000" w:rsidDel="00000000" w:rsidP="00000000" w:rsidRDefault="00000000" w:rsidRPr="00000000" w14:paraId="00000002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A equipe da PROGRAD elaborou um modelo de Relatório de Adequação de Bibliografia por Componente Curricular a ser utilizado pelos Núcleos Docentes Estruturantes (NDEs) no trabalho de revisão das bibliografias básicas e complementares. </w:t>
      </w:r>
    </w:p>
    <w:p w:rsidR="00000000" w:rsidDel="00000000" w:rsidP="00000000" w:rsidRDefault="00000000" w:rsidRPr="00000000" w14:paraId="00000004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A proposição deste modelo é orientada tanto pela necessidade contínua de revisão das referências por componente curricular, quanto pela necessidade de adequação às orientações do Instrumento de Avaliação de Cursos de Graduação Presencial e a Distância (INEP, 2017), nos indicadores 3.6 </w:t>
      </w:r>
      <w:r w:rsidDel="00000000" w:rsidR="00000000" w:rsidRPr="00000000">
        <w:rPr>
          <w:i w:val="1"/>
          <w:rtl w:val="0"/>
        </w:rPr>
        <w:t xml:space="preserve">Bibliografia básica por unidade curricular (uc)</w:t>
      </w:r>
      <w:r w:rsidDel="00000000" w:rsidR="00000000" w:rsidRPr="00000000">
        <w:rPr>
          <w:rtl w:val="0"/>
        </w:rPr>
        <w:t xml:space="preserve"> e 3.7 </w:t>
      </w:r>
      <w:r w:rsidDel="00000000" w:rsidR="00000000" w:rsidRPr="00000000">
        <w:rPr>
          <w:i w:val="1"/>
          <w:rtl w:val="0"/>
        </w:rPr>
        <w:t xml:space="preserve">Bibliografia complementar por unidade curricular</w:t>
      </w:r>
      <w:r w:rsidDel="00000000" w:rsidR="00000000" w:rsidRPr="00000000">
        <w:rPr>
          <w:rtl w:val="0"/>
        </w:rPr>
        <w:t xml:space="preserve"> (uc).</w:t>
      </w:r>
    </w:p>
    <w:p w:rsidR="00000000" w:rsidDel="00000000" w:rsidP="00000000" w:rsidRDefault="00000000" w:rsidRPr="00000000" w14:paraId="0000000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O trabalho de revisão poderá ser gradual e contar com a colaboração do docente que ministra o componente curricular, para ser posteriormente referendado por ata do NDE. </w:t>
      </w:r>
    </w:p>
    <w:p w:rsidR="00000000" w:rsidDel="00000000" w:rsidP="00000000" w:rsidRDefault="00000000" w:rsidRPr="00000000" w14:paraId="00000006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Orientamos para que a revisão de bibliografia seja feita considerando: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069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Racionalidade, priorizando a indicação de bibliografia conforme acervo existente, </w:t>
      </w:r>
      <w:r w:rsidDel="00000000" w:rsidR="00000000" w:rsidRPr="00000000">
        <w:rPr>
          <w:rtl w:val="0"/>
        </w:rPr>
        <w:t xml:space="preserve">preferencialmente, </w:t>
      </w:r>
      <w:r w:rsidDel="00000000" w:rsidR="00000000" w:rsidRPr="00000000">
        <w:rPr>
          <w:color w:val="000000"/>
          <w:rtl w:val="0"/>
        </w:rPr>
        <w:t xml:space="preserve">na Biblioteca do Campus ou em outra Unidade;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069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Possibilidade de indicar acervo virtual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(se a referência provém da </w:t>
      </w:r>
      <w:hyperlink r:id="rId7">
        <w:r w:rsidDel="00000000" w:rsidR="00000000" w:rsidRPr="00000000">
          <w:rPr>
            <w:color w:val="ff0000"/>
            <w:u w:val="single"/>
            <w:rtl w:val="0"/>
          </w:rPr>
          <w:t xml:space="preserve">Plataforma Minha Biblioteca</w:t>
        </w:r>
      </w:hyperlink>
      <w:r w:rsidDel="00000000" w:rsidR="00000000" w:rsidRPr="00000000">
        <w:rPr>
          <w:color w:val="ff0000"/>
          <w:rtl w:val="0"/>
        </w:rPr>
        <w:t xml:space="preserve">, </w:t>
      </w:r>
      <w:r w:rsidDel="00000000" w:rsidR="00000000" w:rsidRPr="00000000">
        <w:rPr>
          <w:color w:val="ff0000"/>
          <w:rtl w:val="0"/>
        </w:rPr>
        <w:t xml:space="preserve">é importante verificar se o título continua disponível);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069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Atenção </w:t>
      </w:r>
      <w:r w:rsidDel="00000000" w:rsidR="00000000" w:rsidRPr="00000000">
        <w:rPr>
          <w:rtl w:val="0"/>
        </w:rPr>
        <w:t xml:space="preserve">à</w:t>
      </w:r>
      <w:r w:rsidDel="00000000" w:rsidR="00000000" w:rsidRPr="00000000">
        <w:rPr>
          <w:color w:val="000000"/>
          <w:rtl w:val="0"/>
        </w:rPr>
        <w:t xml:space="preserve">s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orientações da Política de Desenvolvimento de Coleções da Unipampa</w:t>
        </w:r>
      </w:hyperlink>
      <w:r w:rsidDel="00000000" w:rsidR="00000000" w:rsidRPr="00000000">
        <w:rPr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069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Atenção aos critérios de avaliação do Instrumento de Avaliação de Cursos de Graduação Presencial e a Distância (INEP, 2017) que avalia a partir dos seguintes c</w:t>
      </w:r>
      <w:r w:rsidDel="00000000" w:rsidR="00000000" w:rsidRPr="00000000">
        <w:rPr>
          <w:rtl w:val="0"/>
        </w:rPr>
        <w:t xml:space="preserve">ritérios de análise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09" w:firstLine="0"/>
        <w:jc w:val="both"/>
        <w:rPr/>
      </w:pPr>
      <w:r w:rsidDel="00000000" w:rsidR="00000000" w:rsidRPr="00000000">
        <w:rPr>
          <w:i w:val="1"/>
          <w:rtl w:val="0"/>
        </w:rPr>
        <w:t xml:space="preserve">“O acervo físico está tombado e informatizado, o virtual possui contrato que garante o acesso ininterrupto pelos usuários e ambos estão registrados em nome da IES. O acervo da bibliografia básica é adequado em relação às unidades curriculares (UC) e aos conteúdos descritos no PPC e está atualizado, considerando a natureza das UC. Da mesma forma, está referendado por relatório de adequação, assinado pelo NDE, comprovando a compatibilidade, em cada bibliografia básica da UC, entre o número de vagas autorizadas (do próprio curso e de outros que utilizem os títulos) e a quantidade de exemplares por título (ou assinatura de acesso) disponível no acervo. Nos casos dos títulos virtuais, há garantia de acesso físico na IES, com instalações e recursos tecnológicos que atendem à demanda e à oferta ininterrupta via internet, bem como de ferramentas de acessibilidade e de soluções de apoio à leitura, estudo e aprendizagem. O acervo possui exemplares, ou assinaturas de acesso virtual, de periódicos especializados que suplementam o conteúdo administrado nas UC. O acervo é gerenciado de modo a atualizar a quantidade de exemplares e/ou assinaturas de acesso mais demandadas, sendo adotado plano de contingência para a garantia do acesso e do serviço.” </w:t>
      </w:r>
      <w:r w:rsidDel="00000000" w:rsidR="00000000" w:rsidRPr="00000000">
        <w:rPr>
          <w:rtl w:val="0"/>
        </w:rPr>
        <w:t xml:space="preserve">(Indicador 3.6 do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Instrumento de Avaliação de Cursos de Graduação presencial e a Distância, INEP, 2017</w:t>
        </w:r>
      </w:hyperlink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0C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Considerando tais critérios, indicamos o modelo de relatório em anexo. </w:t>
      </w:r>
    </w:p>
    <w:p w:rsidR="00000000" w:rsidDel="00000000" w:rsidP="00000000" w:rsidRDefault="00000000" w:rsidRPr="00000000" w14:paraId="0000000D">
      <w:pPr>
        <w:rPr/>
        <w:sectPr>
          <w:headerReference r:id="rId10" w:type="default"/>
          <w:headerReference r:id="rId11" w:type="first"/>
          <w:headerReference r:id="rId12" w:type="even"/>
          <w:footerReference r:id="rId13" w:type="default"/>
          <w:footerReference r:id="rId14" w:type="first"/>
          <w:footerReference r:id="rId15" w:type="even"/>
          <w:pgSz w:h="16838" w:w="11906" w:orient="portrait"/>
          <w:pgMar w:bottom="720" w:top="720" w:left="720" w:right="720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1365839" cy="776605"/>
            <wp:effectExtent b="0" l="0" r="0" t="0"/>
            <wp:docPr descr="Resultado de imagem para logo unipampa" id="3" name="image1.jpg"/>
            <a:graphic>
              <a:graphicData uri="http://schemas.openxmlformats.org/drawingml/2006/picture">
                <pic:pic>
                  <pic:nvPicPr>
                    <pic:cNvPr descr="Resultado de imagem para logo unipampa" id="0" name="image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839" cy="776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RELATÓRIO DE ADEQUAÇÃO DE BIBLIOGRAFIA POR COMPONENTE CURRICULAR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CURSO: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CAMPUS: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MODALIDADE ( ) PRESENCIAL ( ) EAD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VAGAS AUTORIZADAS:</w:t>
      </w:r>
    </w:p>
    <w:p w:rsidR="00000000" w:rsidDel="00000000" w:rsidP="00000000" w:rsidRDefault="00000000" w:rsidRPr="00000000" w14:paraId="00000014">
      <w:pPr>
        <w:spacing w:before="360" w:line="240" w:lineRule="auto"/>
        <w:rPr/>
      </w:pPr>
      <w:r w:rsidDel="00000000" w:rsidR="00000000" w:rsidRPr="00000000">
        <w:rPr>
          <w:rtl w:val="0"/>
        </w:rPr>
        <w:t xml:space="preserve">COMPONENTE CURRICULAR: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CARGA HORÁRIA: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EMENTA: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OBJETIVOS: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5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6"/>
        <w:gridCol w:w="6418"/>
        <w:gridCol w:w="2126"/>
        <w:gridCol w:w="1985"/>
        <w:gridCol w:w="1984"/>
        <w:tblGridChange w:id="0">
          <w:tblGrid>
            <w:gridCol w:w="3046"/>
            <w:gridCol w:w="6418"/>
            <w:gridCol w:w="2126"/>
            <w:gridCol w:w="1985"/>
            <w:gridCol w:w="19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BIBLIOGRAFIA BÁSICA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FÍSICA/VIRTUAL/MISTA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QTD DE EXEMPLARES CAMPUS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QTD DE EXEMPLARES OUTRAS UNIDADES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TÍTULO 1</w:t>
            </w:r>
          </w:p>
        </w:tc>
        <w:tc>
          <w:tcPr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TÍTULO 2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TÍTULO 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PERIÓDICO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JUSTIFICATIVA DA ADEQUAÇÃO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5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6"/>
        <w:gridCol w:w="6418"/>
        <w:gridCol w:w="2126"/>
        <w:gridCol w:w="1985"/>
        <w:gridCol w:w="1984"/>
        <w:tblGridChange w:id="0">
          <w:tblGrid>
            <w:gridCol w:w="3046"/>
            <w:gridCol w:w="6418"/>
            <w:gridCol w:w="2126"/>
            <w:gridCol w:w="1985"/>
            <w:gridCol w:w="19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BIBLIOGRAFIA COMPLEMENTAR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FÍSICA/VIRTUAL/MISTA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QTD DE EXEMPLARES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QTD DE EXEMPLARES OUTRAS UNIDADES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TÍTULO 1</w:t>
            </w:r>
          </w:p>
        </w:tc>
        <w:tc>
          <w:tcPr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TÍTULO 2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TÍTULO 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TÍTULO 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TÍTULO 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PERIÓDICO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JUSTIFICATIVA DA ADEQUAÇÃO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PARECER DO NDE:</w:t>
      </w:r>
    </w:p>
    <w:p w:rsidR="00000000" w:rsidDel="00000000" w:rsidP="00000000" w:rsidRDefault="00000000" w:rsidRPr="00000000" w14:paraId="00000064">
      <w:pPr>
        <w:spacing w:after="240" w:lineRule="auto"/>
        <w:rPr/>
      </w:pPr>
      <w:r w:rsidDel="00000000" w:rsidR="00000000" w:rsidRPr="00000000">
        <w:rPr>
          <w:rtl w:val="0"/>
        </w:rPr>
        <w:t xml:space="preserve">ANÁLISE GLOBAL: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  <w:t xml:space="preserve">RECOMENDAÇÕES: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480" w:lineRule="auto"/>
        <w:jc w:val="right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DATA E ATA DA REUNIÃO</w:t>
      </w:r>
    </w:p>
    <w:p w:rsidR="00000000" w:rsidDel="00000000" w:rsidP="00000000" w:rsidRDefault="00000000" w:rsidRPr="00000000" w14:paraId="00000067">
      <w:pPr>
        <w:spacing w:before="480" w:lineRule="auto"/>
        <w:jc w:val="right"/>
        <w:rPr/>
      </w:pPr>
      <w:r w:rsidDel="00000000" w:rsidR="00000000" w:rsidRPr="00000000">
        <w:rPr>
          <w:rtl w:val="0"/>
        </w:rPr>
        <w:t xml:space="preserve">Assinatura dos membros do NDE </w:t>
      </w:r>
    </w:p>
    <w:sectPr>
      <w:type w:val="nextPage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Página </w:t>
    </w:r>
    <w:r w:rsidDel="00000000" w:rsidR="00000000" w:rsidRPr="00000000">
      <w:rPr>
        <w:b w:val="1"/>
        <w:color w:val="000000"/>
        <w:rtl w:val="0"/>
      </w:rPr>
      <w:t xml:space="preserve">1</w:t>
    </w:r>
    <w:r w:rsidDel="00000000" w:rsidR="00000000" w:rsidRPr="00000000">
      <w:rPr>
        <w:color w:val="000000"/>
        <w:rtl w:val="0"/>
      </w:rPr>
      <w:t xml:space="preserve">de </w:t>
    </w:r>
    <w:r w:rsidDel="00000000" w:rsidR="00000000" w:rsidRPr="00000000">
      <w:rPr>
        <w:b w:val="1"/>
        <w:color w:val="000000"/>
        <w:rtl w:val="0"/>
      </w:rPr>
      <w:t xml:space="preserve">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Página </w:t>
    </w:r>
    <w:r w:rsidDel="00000000" w:rsidR="00000000" w:rsidRPr="00000000">
      <w:rPr>
        <w:b w:val="1"/>
        <w:color w:val="000000"/>
        <w:rtl w:val="0"/>
      </w:rPr>
      <w:t xml:space="preserve">2</w:t>
    </w:r>
    <w:r w:rsidDel="00000000" w:rsidR="00000000" w:rsidRPr="00000000">
      <w:rPr>
        <w:color w:val="000000"/>
        <w:rtl w:val="0"/>
      </w:rPr>
      <w:t xml:space="preserve">de </w:t>
    </w:r>
    <w:r w:rsidDel="00000000" w:rsidR="00000000" w:rsidRPr="00000000">
      <w:rPr>
        <w:b w:val="1"/>
        <w:color w:val="000000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520"/>
      </w:tabs>
      <w:spacing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1362075" cy="835025"/>
          <wp:effectExtent b="0" l="0" r="0" t="0"/>
          <wp:docPr descr="logotipo da unipampa" id="4" name="image2.jpg"/>
          <a:graphic>
            <a:graphicData uri="http://schemas.openxmlformats.org/drawingml/2006/picture">
              <pic:pic>
                <pic:nvPicPr>
                  <pic:cNvPr descr="logotipo da unipampa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835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520"/>
      </w:tabs>
      <w:spacing w:line="240" w:lineRule="auto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520"/>
      </w:tabs>
      <w:spacing w:line="240" w:lineRule="auto"/>
      <w:jc w:val="center"/>
      <w:rPr/>
    </w:pPr>
    <w:r w:rsidDel="00000000" w:rsidR="00000000" w:rsidRPr="00000000">
      <w:rPr>
        <w:rtl w:val="0"/>
      </w:rPr>
      <w:t xml:space="preserve">FUNDAÇÃO UNIVERSIDADE FEDERAL DO PAMPA</w:t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520"/>
      </w:tabs>
      <w:spacing w:line="240" w:lineRule="auto"/>
      <w:jc w:val="center"/>
      <w:rPr/>
    </w:pPr>
    <w:r w:rsidDel="00000000" w:rsidR="00000000" w:rsidRPr="00000000">
      <w:rPr>
        <w:rtl w:val="0"/>
      </w:rPr>
      <w:t xml:space="preserve">PRÓ-REITORIA DE GRADUAÇÃO</w:t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360" w:lineRule="auto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3891"/>
    <w:pPr>
      <w:spacing w:after="0" w:line="360" w:lineRule="auto"/>
    </w:pPr>
    <w:rPr>
      <w:rFonts w:ascii="Arial" w:hAnsi="Arial"/>
      <w:sz w:val="24"/>
      <w:szCs w:val="22"/>
    </w:rPr>
  </w:style>
  <w:style w:type="paragraph" w:styleId="Ttulo1">
    <w:name w:val="heading 1"/>
    <w:basedOn w:val="Normal"/>
    <w:next w:val="Normal"/>
    <w:rsid w:val="00F114BC"/>
    <w:pPr>
      <w:keepNext w:val="1"/>
      <w:keepLines w:val="1"/>
      <w:spacing w:after="240" w:before="360"/>
      <w:outlineLvl w:val="0"/>
    </w:pPr>
    <w:rPr>
      <w:b w:val="1"/>
      <w:caps w:val="1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comentrio">
    <w:name w:val="annotation text"/>
    <w:basedOn w:val="Normal"/>
    <w:link w:val="TextodecomentrioChar"/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10" w:customStyle="1">
    <w:name w:val="_Style 10"/>
    <w:basedOn w:val="TableNormal"/>
    <w:pPr>
      <w:spacing w:after="0" w:line="240" w:lineRule="auto"/>
    </w:p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tyle11" w:customStyle="1">
    <w:name w:val="_Style 11"/>
    <w:basedOn w:val="TableNormal"/>
    <w:pPr>
      <w:spacing w:after="0" w:line="240" w:lineRule="auto"/>
    </w:pPr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balo">
    <w:name w:val="Balloon Text"/>
    <w:basedOn w:val="Normal"/>
    <w:link w:val="TextodebaloChar"/>
    <w:rsid w:val="00786D43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786D43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rsid w:val="001B0D68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rsid w:val="001B0D68"/>
    <w:rPr>
      <w:sz w:val="22"/>
      <w:szCs w:val="22"/>
    </w:rPr>
  </w:style>
  <w:style w:type="paragraph" w:styleId="Rodap">
    <w:name w:val="footer"/>
    <w:basedOn w:val="Normal"/>
    <w:link w:val="RodapChar"/>
    <w:rsid w:val="001B0D68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rsid w:val="001B0D68"/>
    <w:rPr>
      <w:sz w:val="22"/>
      <w:szCs w:val="22"/>
    </w:rPr>
  </w:style>
  <w:style w:type="character" w:styleId="Hyperlink">
    <w:name w:val="Hyperlink"/>
    <w:basedOn w:val="Fontepargpadro"/>
    <w:uiPriority w:val="99"/>
    <w:unhideWhenUsed w:val="1"/>
    <w:rsid w:val="002D3C85"/>
    <w:rPr>
      <w:color w:val="0000ff"/>
      <w:u w:val="single"/>
    </w:rPr>
  </w:style>
  <w:style w:type="character" w:styleId="TextodecomentrioChar" w:customStyle="1">
    <w:name w:val="Texto de comentário Char"/>
    <w:basedOn w:val="Fontepargpadro"/>
    <w:link w:val="Textodecomentrio"/>
    <w:rsid w:val="00F114BC"/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wnload.inep.gov.br/educacao_superior/avaliacao_cursos_graduacao/instrumentos/2017/curso_reconhecimento.pdf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tes.unipampa.edu.br/sisbi/e-books-minha-biblioteca/" TargetMode="External"/><Relationship Id="rId8" Type="http://schemas.openxmlformats.org/officeDocument/2006/relationships/hyperlink" Target="https://sites.unipampa.edu.br/sisbi/files/2019/08/pdc-versao-com-correcoes.pdf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ZkFG7J/ozdcv8+Nvb6LZ92A5FQ==">AMUW2mWBpq0DJGS65cf+8rLr/1w0w+MbGYcfpFyxC/ouxv+wm+8dmqfaXBlnxFxM8GilDMjIPPWrwdmSHaWOIkvoBLdxa5B8XiPVqSk+MBbTTHIDYUsADpA4TgIerJa6bPvqAmdtdrpH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2020-03-16T21:20:00Z</dcterms:created>
</cp:coreProperties>
</file>